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u w:val="none"/>
          <w:lang w:val="en-US" w:eastAsia="zh-CN"/>
        </w:rPr>
        <w:t>宁夏财政厅 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1月</w:t>
      </w:r>
      <w:r>
        <w:rPr>
          <w:rFonts w:hint="eastAsia" w:ascii="方正小标宋_GBK" w:hAnsi="方正小标宋_GBK" w:eastAsia="方正小标宋_GBK" w:cs="方正小标宋_GBK"/>
          <w:sz w:val="44"/>
          <w:szCs w:val="44"/>
          <w:lang w:eastAsia="zh-CN"/>
        </w:rPr>
        <w:t>（至）</w:t>
      </w:r>
      <w:r>
        <w:rPr>
          <w:rFonts w:hint="eastAsia" w:ascii="方正小标宋_GBK" w:hAnsi="方正小标宋_GBK" w:eastAsia="方正小标宋_GBK" w:cs="方正小标宋_GBK"/>
          <w:sz w:val="44"/>
          <w:szCs w:val="44"/>
          <w:lang w:val="en-US" w:eastAsia="zh-CN"/>
        </w:rPr>
        <w:t>2月</w:t>
      </w:r>
    </w:p>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政府采购</w:t>
      </w:r>
      <w:r>
        <w:rPr>
          <w:rFonts w:hint="eastAsia" w:ascii="方正小标宋_GBK" w:hAnsi="方正小标宋_GBK" w:eastAsia="方正小标宋_GBK" w:cs="方正小标宋_GBK"/>
          <w:sz w:val="44"/>
          <w:szCs w:val="44"/>
          <w:lang w:eastAsia="zh-CN"/>
        </w:rPr>
        <w:t>意向</w:t>
      </w:r>
      <w:bookmarkEnd w:id="0"/>
    </w:p>
    <w:p>
      <w:pPr>
        <w:pStyle w:val="2"/>
        <w:rPr>
          <w:rFonts w:hint="eastAsia"/>
          <w:lang w:val="en-US" w:eastAsia="zh-CN"/>
        </w:rPr>
      </w:pPr>
    </w:p>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0"/>
        <w:rPr>
          <w:rFonts w:hint="eastAsia"/>
          <w:lang w:eastAsia="zh-CN"/>
        </w:rPr>
      </w:pPr>
      <w:r>
        <w:rPr>
          <w:rFonts w:hint="eastAsia" w:ascii="仿宋_GB2312" w:hAnsi="仿宋_GB2312" w:eastAsia="仿宋_GB2312" w:cs="仿宋_GB2312"/>
          <w:sz w:val="32"/>
          <w:szCs w:val="32"/>
          <w:lang w:eastAsia="zh-CN"/>
        </w:rPr>
        <w:t>为便于供应商及时了解政府采购信息，</w:t>
      </w:r>
      <w:r>
        <w:rPr>
          <w:rFonts w:hint="eastAsia" w:ascii="仿宋_GB2312" w:hAnsi="仿宋_GB2312" w:eastAsia="仿宋_GB2312" w:cs="仿宋_GB2312"/>
          <w:sz w:val="32"/>
          <w:szCs w:val="32"/>
        </w:rPr>
        <w:t>根据《财政部关于开展政府采购意向公开工作的通知》</w:t>
      </w:r>
      <w:r>
        <w:rPr>
          <w:rFonts w:hint="eastAsia" w:ascii="仿宋_GB2312" w:hAnsi="仿宋_GB2312" w:eastAsia="仿宋_GB2312" w:cs="仿宋_GB2312"/>
          <w:sz w:val="32"/>
          <w:szCs w:val="32"/>
          <w:lang w:eastAsia="zh-CN"/>
        </w:rPr>
        <w:t>（财库〔</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等有关规定，现将</w:t>
      </w:r>
      <w:r>
        <w:rPr>
          <w:rFonts w:hint="eastAsia" w:ascii="仿宋_GB2312" w:hAnsi="仿宋_GB2312" w:eastAsia="仿宋_GB2312" w:cs="仿宋_GB2312"/>
          <w:sz w:val="32"/>
          <w:szCs w:val="32"/>
          <w:lang w:eastAsia="zh-CN"/>
        </w:rPr>
        <w:t>宁夏财政厅</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1月</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采购意向公开如下：</w:t>
      </w:r>
    </w:p>
    <w:tbl>
      <w:tblPr>
        <w:tblStyle w:val="6"/>
        <w:tblpPr w:leftFromText="180" w:rightFromText="180" w:vertAnchor="text" w:horzAnchor="page" w:tblpX="1418" w:tblpY="693"/>
        <w:tblOverlap w:val="never"/>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450"/>
        <w:gridCol w:w="540"/>
        <w:gridCol w:w="375"/>
        <w:gridCol w:w="3840"/>
        <w:gridCol w:w="585"/>
        <w:gridCol w:w="795"/>
        <w:gridCol w:w="375"/>
        <w:gridCol w:w="714"/>
        <w:gridCol w:w="475"/>
        <w:gridCol w:w="417"/>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ascii="宋体" w:hAnsi="宋体" w:eastAsia="宋体" w:cs="仿宋_GB2312"/>
                <w:b/>
                <w:bCs/>
                <w:sz w:val="15"/>
                <w:szCs w:val="15"/>
              </w:rPr>
            </w:pPr>
            <w:r>
              <w:rPr>
                <w:rFonts w:hint="eastAsia" w:ascii="宋体" w:hAnsi="宋体" w:eastAsia="宋体" w:cs="仿宋_GB2312"/>
                <w:b/>
                <w:bCs/>
                <w:sz w:val="15"/>
                <w:szCs w:val="15"/>
              </w:rPr>
              <w:t>序号</w:t>
            </w:r>
          </w:p>
        </w:tc>
        <w:tc>
          <w:tcPr>
            <w:tcW w:w="450"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eastAsia" w:ascii="宋体" w:hAnsi="宋体" w:eastAsia="宋体" w:cs="仿宋_GB2312"/>
                <w:b/>
                <w:bCs/>
                <w:sz w:val="15"/>
                <w:szCs w:val="15"/>
                <w:lang w:eastAsia="zh-CN"/>
              </w:rPr>
            </w:pPr>
            <w:r>
              <w:rPr>
                <w:rFonts w:hint="eastAsia" w:ascii="宋体" w:hAnsi="宋体" w:cs="仿宋_GB2312"/>
                <w:b/>
                <w:bCs/>
                <w:sz w:val="15"/>
                <w:szCs w:val="15"/>
                <w:lang w:eastAsia="zh-CN"/>
              </w:rPr>
              <w:t>采购单位</w:t>
            </w:r>
          </w:p>
        </w:tc>
        <w:tc>
          <w:tcPr>
            <w:tcW w:w="540"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both"/>
              <w:textAlignment w:val="auto"/>
              <w:rPr>
                <w:rFonts w:hint="eastAsia" w:ascii="宋体" w:hAnsi="宋体" w:eastAsia="宋体" w:cs="仿宋_GB2312"/>
                <w:b/>
                <w:bCs/>
                <w:sz w:val="15"/>
                <w:szCs w:val="15"/>
              </w:rPr>
            </w:pPr>
          </w:p>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both"/>
              <w:textAlignment w:val="auto"/>
              <w:rPr>
                <w:rFonts w:hint="eastAsia" w:ascii="宋体" w:hAnsi="宋体" w:eastAsia="宋体" w:cs="仿宋_GB2312"/>
                <w:b/>
                <w:bCs/>
                <w:sz w:val="15"/>
                <w:szCs w:val="15"/>
              </w:rPr>
            </w:pPr>
            <w:r>
              <w:rPr>
                <w:rFonts w:hint="eastAsia" w:ascii="宋体" w:hAnsi="宋体" w:eastAsia="宋体" w:cs="仿宋_GB2312"/>
                <w:b/>
                <w:bCs/>
                <w:sz w:val="15"/>
                <w:szCs w:val="15"/>
              </w:rPr>
              <w:t>采购</w:t>
            </w:r>
          </w:p>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both"/>
              <w:textAlignment w:val="auto"/>
              <w:rPr>
                <w:rFonts w:hint="eastAsia" w:ascii="宋体" w:hAnsi="宋体" w:eastAsia="宋体" w:cs="仿宋_GB2312"/>
                <w:b/>
                <w:bCs/>
                <w:sz w:val="15"/>
                <w:szCs w:val="15"/>
                <w:lang w:eastAsia="zh-CN"/>
              </w:rPr>
            </w:pPr>
            <w:r>
              <w:rPr>
                <w:rFonts w:hint="eastAsia" w:ascii="宋体" w:hAnsi="宋体" w:eastAsia="宋体" w:cs="仿宋_GB2312"/>
                <w:b/>
                <w:bCs/>
                <w:sz w:val="15"/>
                <w:szCs w:val="15"/>
              </w:rPr>
              <w:t>项目</w:t>
            </w:r>
            <w:r>
              <w:rPr>
                <w:rFonts w:hint="eastAsia" w:ascii="宋体" w:hAnsi="宋体" w:cs="仿宋_GB2312"/>
                <w:b/>
                <w:bCs/>
                <w:sz w:val="15"/>
                <w:szCs w:val="15"/>
                <w:lang w:eastAsia="zh-CN"/>
              </w:rPr>
              <w:t>名称</w:t>
            </w:r>
          </w:p>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both"/>
              <w:textAlignment w:val="auto"/>
              <w:rPr>
                <w:rFonts w:ascii="宋体" w:hAnsi="宋体" w:eastAsia="宋体" w:cs="仿宋_GB2312"/>
                <w:b/>
                <w:bCs/>
                <w:sz w:val="15"/>
                <w:szCs w:val="15"/>
              </w:rPr>
            </w:pPr>
          </w:p>
        </w:tc>
        <w:tc>
          <w:tcPr>
            <w:tcW w:w="375"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eastAsia" w:ascii="宋体" w:hAnsi="宋体" w:eastAsia="宋体" w:cs="仿宋_GB2312"/>
                <w:b/>
                <w:bCs/>
                <w:sz w:val="15"/>
                <w:szCs w:val="15"/>
                <w:lang w:eastAsia="zh-CN"/>
              </w:rPr>
            </w:pPr>
            <w:r>
              <w:rPr>
                <w:rFonts w:hint="eastAsia" w:ascii="宋体" w:hAnsi="宋体" w:cs="仿宋_GB2312"/>
                <w:b/>
                <w:bCs/>
                <w:sz w:val="15"/>
                <w:szCs w:val="15"/>
                <w:lang w:eastAsia="zh-CN"/>
              </w:rPr>
              <w:t>采购品目</w:t>
            </w:r>
          </w:p>
        </w:tc>
        <w:tc>
          <w:tcPr>
            <w:tcW w:w="3840"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eastAsia" w:ascii="宋体" w:hAnsi="宋体" w:eastAsia="宋体" w:cs="仿宋_GB2312"/>
                <w:b/>
                <w:bCs/>
                <w:kern w:val="2"/>
                <w:sz w:val="15"/>
                <w:szCs w:val="15"/>
                <w:lang w:val="en-US" w:eastAsia="zh-CN" w:bidi="ar-SA"/>
              </w:rPr>
            </w:pPr>
            <w:r>
              <w:rPr>
                <w:rFonts w:hint="eastAsia" w:ascii="宋体" w:hAnsi="宋体" w:eastAsia="宋体" w:cs="仿宋_GB2312"/>
                <w:b/>
                <w:bCs/>
                <w:sz w:val="15"/>
                <w:szCs w:val="15"/>
              </w:rPr>
              <w:t>采购需求概况</w:t>
            </w:r>
          </w:p>
        </w:tc>
        <w:tc>
          <w:tcPr>
            <w:tcW w:w="585"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eastAsia" w:ascii="宋体" w:hAnsi="宋体" w:eastAsia="宋体" w:cs="仿宋_GB2312"/>
                <w:b/>
                <w:bCs/>
                <w:sz w:val="15"/>
                <w:szCs w:val="15"/>
                <w:lang w:eastAsia="zh-CN"/>
              </w:rPr>
            </w:pPr>
            <w:r>
              <w:rPr>
                <w:rFonts w:hint="eastAsia" w:ascii="宋体" w:hAnsi="宋体" w:cs="仿宋_GB2312"/>
                <w:b/>
                <w:bCs/>
                <w:sz w:val="15"/>
                <w:szCs w:val="15"/>
                <w:lang w:eastAsia="zh-CN"/>
              </w:rPr>
              <w:t>预算金额（万元）</w:t>
            </w:r>
          </w:p>
        </w:tc>
        <w:tc>
          <w:tcPr>
            <w:tcW w:w="795"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eastAsia" w:ascii="宋体" w:hAnsi="宋体" w:eastAsia="宋体" w:cs="仿宋_GB2312"/>
                <w:b/>
                <w:bCs/>
                <w:kern w:val="2"/>
                <w:sz w:val="15"/>
                <w:szCs w:val="15"/>
                <w:lang w:val="en-US" w:eastAsia="zh-CN" w:bidi="ar-SA"/>
              </w:rPr>
            </w:pPr>
            <w:r>
              <w:rPr>
                <w:rFonts w:hint="eastAsia" w:ascii="宋体" w:hAnsi="宋体" w:eastAsia="宋体" w:cs="仿宋_GB2312"/>
                <w:b/>
                <w:bCs/>
                <w:sz w:val="15"/>
                <w:szCs w:val="15"/>
                <w:lang w:eastAsia="zh-CN"/>
              </w:rPr>
              <w:t>是否适宜中小企业采购预算预留</w:t>
            </w:r>
          </w:p>
        </w:tc>
        <w:tc>
          <w:tcPr>
            <w:tcW w:w="375"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default" w:ascii="宋体" w:hAnsi="宋体" w:eastAsia="宋体" w:cs="仿宋_GB2312"/>
                <w:b/>
                <w:bCs/>
                <w:kern w:val="2"/>
                <w:sz w:val="15"/>
                <w:szCs w:val="15"/>
                <w:lang w:val="en-US" w:eastAsia="zh-CN" w:bidi="ar-SA"/>
              </w:rPr>
            </w:pPr>
            <w:r>
              <w:rPr>
                <w:rFonts w:hint="eastAsia" w:ascii="宋体" w:hAnsi="宋体" w:eastAsia="宋体" w:cs="仿宋_GB2312"/>
                <w:b/>
                <w:bCs/>
                <w:sz w:val="15"/>
                <w:szCs w:val="15"/>
                <w:lang w:eastAsia="zh-CN"/>
              </w:rPr>
              <w:t>预留方式</w:t>
            </w:r>
          </w:p>
        </w:tc>
        <w:tc>
          <w:tcPr>
            <w:tcW w:w="714"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default" w:ascii="宋体" w:hAnsi="宋体" w:eastAsia="宋体" w:cs="仿宋_GB2312"/>
                <w:b/>
                <w:bCs/>
                <w:kern w:val="2"/>
                <w:sz w:val="15"/>
                <w:szCs w:val="15"/>
                <w:lang w:val="en-US" w:eastAsia="zh-CN" w:bidi="ar-SA"/>
              </w:rPr>
            </w:pPr>
            <w:r>
              <w:rPr>
                <w:rFonts w:hint="eastAsia" w:ascii="宋体" w:hAnsi="宋体" w:eastAsia="宋体" w:cs="仿宋_GB2312"/>
                <w:b/>
                <w:bCs/>
                <w:sz w:val="15"/>
                <w:szCs w:val="15"/>
                <w:lang w:eastAsia="zh-CN"/>
              </w:rPr>
              <w:t>预留比例</w:t>
            </w:r>
            <w:r>
              <w:rPr>
                <w:rFonts w:hint="eastAsia" w:ascii="宋体" w:hAnsi="宋体" w:eastAsia="宋体" w:cs="仿宋_GB2312"/>
                <w:b/>
                <w:bCs/>
                <w:sz w:val="15"/>
                <w:szCs w:val="15"/>
                <w:lang w:val="en-US" w:eastAsia="zh-CN"/>
              </w:rPr>
              <w:t>%</w:t>
            </w:r>
          </w:p>
        </w:tc>
        <w:tc>
          <w:tcPr>
            <w:tcW w:w="475"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eastAsia" w:ascii="宋体" w:hAnsi="宋体" w:eastAsia="宋体" w:cs="仿宋_GB2312"/>
                <w:b/>
                <w:bCs/>
                <w:sz w:val="15"/>
                <w:szCs w:val="15"/>
                <w:lang w:eastAsia="zh-CN"/>
              </w:rPr>
            </w:pPr>
            <w:r>
              <w:rPr>
                <w:rFonts w:hint="eastAsia" w:ascii="宋体" w:hAnsi="宋体" w:cs="仿宋_GB2312"/>
                <w:b/>
                <w:bCs/>
                <w:sz w:val="15"/>
                <w:szCs w:val="15"/>
                <w:lang w:eastAsia="zh-CN"/>
              </w:rPr>
              <w:t>项目类型</w:t>
            </w:r>
          </w:p>
        </w:tc>
        <w:tc>
          <w:tcPr>
            <w:tcW w:w="417"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eastAsia" w:ascii="宋体" w:hAnsi="宋体" w:eastAsia="宋体" w:cs="仿宋_GB2312"/>
                <w:b/>
                <w:bCs/>
                <w:sz w:val="15"/>
                <w:szCs w:val="15"/>
                <w:lang w:eastAsia="zh-CN"/>
              </w:rPr>
            </w:pPr>
            <w:r>
              <w:rPr>
                <w:rFonts w:hint="eastAsia" w:ascii="宋体" w:hAnsi="宋体" w:cs="仿宋_GB2312"/>
                <w:b/>
                <w:bCs/>
                <w:sz w:val="15"/>
                <w:szCs w:val="15"/>
                <w:lang w:eastAsia="zh-CN"/>
              </w:rPr>
              <w:t>预计采购时间</w:t>
            </w:r>
          </w:p>
        </w:tc>
        <w:tc>
          <w:tcPr>
            <w:tcW w:w="959" w:type="dxa"/>
            <w:noWrap w:val="0"/>
            <w:vAlign w:val="center"/>
          </w:tcPr>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exact"/>
              <w:jc w:val="center"/>
              <w:textAlignment w:val="auto"/>
              <w:rPr>
                <w:rFonts w:hint="eastAsia" w:ascii="宋体" w:hAnsi="宋体" w:eastAsia="宋体" w:cs="仿宋_GB2312"/>
                <w:b/>
                <w:bCs/>
                <w:sz w:val="15"/>
                <w:szCs w:val="15"/>
              </w:rPr>
            </w:pPr>
            <w:r>
              <w:rPr>
                <w:rFonts w:hint="eastAsia" w:ascii="宋体" w:hAnsi="宋体" w:eastAsia="宋体" w:cs="仿宋_GB2312"/>
                <w:b/>
                <w:bCs/>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0" w:hRule="atLeast"/>
        </w:trPr>
        <w:tc>
          <w:tcPr>
            <w:tcW w:w="283" w:type="dxa"/>
            <w:noWrap w:val="0"/>
            <w:vAlign w:val="center"/>
          </w:tcPr>
          <w:p>
            <w:pPr>
              <w:tabs>
                <w:tab w:val="left" w:pos="993"/>
                <w:tab w:val="left" w:pos="1134"/>
                <w:tab w:val="left" w:pos="1418"/>
              </w:tabs>
              <w:spacing w:line="400" w:lineRule="exact"/>
              <w:jc w:val="center"/>
              <w:rPr>
                <w:rFonts w:hint="eastAsia" w:ascii="仿宋_GB2312" w:hAnsi="Calibri" w:eastAsia="仿宋_GB2312" w:cs="仿宋_GB2312"/>
                <w:kern w:val="0"/>
                <w:sz w:val="24"/>
                <w:szCs w:val="24"/>
                <w:lang w:val="en-US" w:eastAsia="zh-CN" w:bidi="ar"/>
              </w:rPr>
            </w:pPr>
            <w:r>
              <w:rPr>
                <w:rFonts w:hint="eastAsia" w:ascii="仿宋_GB2312" w:hAnsi="仿宋_GB2312" w:eastAsia="仿宋_GB2312" w:cs="仿宋_GB2312"/>
                <w:sz w:val="24"/>
                <w:szCs w:val="32"/>
                <w:lang w:val="en-US" w:eastAsia="zh-CN"/>
              </w:rPr>
              <w:t>1</w:t>
            </w:r>
          </w:p>
        </w:tc>
        <w:tc>
          <w:tcPr>
            <w:tcW w:w="450" w:type="dxa"/>
            <w:noWrap w:val="0"/>
            <w:vAlign w:val="center"/>
          </w:tcPr>
          <w:p>
            <w:pPr>
              <w:tabs>
                <w:tab w:val="left" w:pos="993"/>
                <w:tab w:val="left" w:pos="1134"/>
                <w:tab w:val="left" w:pos="1418"/>
              </w:tabs>
              <w:spacing w:line="400" w:lineRule="exact"/>
              <w:jc w:val="left"/>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宁夏回族自治区财政厅</w:t>
            </w:r>
          </w:p>
        </w:tc>
        <w:tc>
          <w:tcPr>
            <w:tcW w:w="540"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firstLine="421" w:firstLineChars="200"/>
              <w:textAlignment w:val="auto"/>
              <w:rPr>
                <w:rFonts w:hint="default" w:ascii="仿宋_GB2312" w:hAnsi="仿宋_GB2312" w:eastAsia="宋体" w:cs="仿宋_GB2312"/>
                <w:sz w:val="24"/>
                <w:szCs w:val="32"/>
                <w:lang w:val="en-US" w:eastAsia="zh-CN"/>
              </w:rPr>
            </w:pPr>
            <w:r>
              <w:rPr>
                <w:rFonts w:hint="eastAsia" w:ascii="宋体" w:hAnsi="宋体" w:eastAsia="宋体" w:cs="宋体"/>
                <w:sz w:val="21"/>
                <w:szCs w:val="21"/>
                <w:lang w:val="en-US" w:eastAsia="zh-CN"/>
              </w:rPr>
              <w:t>宁宁夏财政业务专网广域网电路项目</w:t>
            </w:r>
          </w:p>
        </w:tc>
        <w:tc>
          <w:tcPr>
            <w:tcW w:w="37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基础环境运维服务 C16070100</w:t>
            </w:r>
          </w:p>
        </w:tc>
        <w:tc>
          <w:tcPr>
            <w:tcW w:w="3840" w:type="dxa"/>
            <w:noWrap w:val="0"/>
            <w:vAlign w:val="center"/>
          </w:tcPr>
          <w:p>
            <w:pPr>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宁夏财政业务专网广域网电路纵向连接全区各级财政部门和相关单位，支撑和保障着财政各项业务正常开展。根据国家等级保护等相关要求，保障财政专网业务系统运行的线路要有冗余备份。目前财政业务专网主电路（以下简称“A面电路”）与备份电路（以下简称“B面电路”）一主一备共同保障财政专网业务系统可靠稳定运行。</w:t>
            </w:r>
          </w:p>
          <w:p>
            <w:pPr>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A面电路共计租用38条100M电路，包含28个市、县（区）财政局，以及移动办公线路、宁夏监管局、苏银产业园、惠民公司、农担公司、交警总队、人民银行、2条中卫灾备中心电路、1条测试线路。</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仿宋_GB2312" w:hAnsi="仿宋_GB2312" w:eastAsia="宋体" w:cs="仿宋_GB2312"/>
                <w:b/>
                <w:bCs/>
                <w:kern w:val="0"/>
                <w:sz w:val="24"/>
                <w:szCs w:val="32"/>
                <w:lang w:val="en-US" w:eastAsia="zh-CN" w:bidi="ar-SA"/>
              </w:rPr>
            </w:pPr>
            <w:r>
              <w:rPr>
                <w:rFonts w:hint="eastAsia" w:ascii="宋体" w:hAnsi="宋体" w:eastAsia="宋体" w:cs="宋体"/>
                <w:b w:val="0"/>
                <w:bCs w:val="0"/>
                <w:kern w:val="2"/>
                <w:sz w:val="21"/>
                <w:szCs w:val="21"/>
                <w:lang w:val="en-US" w:eastAsia="zh-CN" w:bidi="ar-SA"/>
              </w:rPr>
              <w:t>B面共计租用36条电路，其中31条20M电路（含28个市、县（区）财政局，以及中卫灾备中心监控、经开区、苏银产业园），5条1000M电路（1条中卫灾备中心数据电路、4条阅海机房电路电路）。</w:t>
            </w:r>
          </w:p>
        </w:tc>
        <w:tc>
          <w:tcPr>
            <w:tcW w:w="58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141.2</w:t>
            </w:r>
          </w:p>
        </w:tc>
        <w:tc>
          <w:tcPr>
            <w:tcW w:w="79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lang w:val="en-US" w:eastAsia="zh-CN"/>
              </w:rPr>
              <w:t>否</w:t>
            </w:r>
          </w:p>
        </w:tc>
        <w:tc>
          <w:tcPr>
            <w:tcW w:w="37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lang w:val="en-US" w:eastAsia="zh-CN"/>
              </w:rPr>
              <w:t>不预留</w:t>
            </w:r>
          </w:p>
        </w:tc>
        <w:tc>
          <w:tcPr>
            <w:tcW w:w="714"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c>
          <w:tcPr>
            <w:tcW w:w="47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p>
        </w:tc>
        <w:tc>
          <w:tcPr>
            <w:tcW w:w="417"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kern w:val="2"/>
                <w:sz w:val="24"/>
                <w:szCs w:val="32"/>
                <w:lang w:val="en-US" w:eastAsia="zh-CN" w:bidi="ar-SA"/>
              </w:rPr>
            </w:pPr>
            <w:r>
              <w:rPr>
                <w:rFonts w:hint="eastAsia" w:ascii="仿宋_GB2312" w:hAnsi="仿宋_GB2312" w:eastAsia="仿宋_GB2312" w:cs="仿宋_GB2312"/>
                <w:kern w:val="2"/>
                <w:sz w:val="24"/>
                <w:szCs w:val="32"/>
                <w:lang w:val="en-US" w:eastAsia="zh-CN" w:bidi="ar-SA"/>
              </w:rPr>
              <w:t>2026年1月</w:t>
            </w:r>
          </w:p>
        </w:tc>
        <w:tc>
          <w:tcPr>
            <w:tcW w:w="959"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0" w:hRule="atLeast"/>
        </w:trPr>
        <w:tc>
          <w:tcPr>
            <w:tcW w:w="283"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w:t>
            </w:r>
          </w:p>
        </w:tc>
        <w:tc>
          <w:tcPr>
            <w:tcW w:w="450" w:type="dxa"/>
            <w:noWrap w:val="0"/>
            <w:vAlign w:val="center"/>
          </w:tcPr>
          <w:p>
            <w:pPr>
              <w:tabs>
                <w:tab w:val="left" w:pos="993"/>
                <w:tab w:val="left" w:pos="1134"/>
                <w:tab w:val="left" w:pos="1418"/>
              </w:tabs>
              <w:spacing w:line="400" w:lineRule="exact"/>
              <w:jc w:val="left"/>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宁夏回族自治区财政厅</w:t>
            </w:r>
          </w:p>
        </w:tc>
        <w:tc>
          <w:tcPr>
            <w:tcW w:w="540"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firstLine="421"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宁宁夏财政信息安全服务项目</w:t>
            </w:r>
          </w:p>
        </w:tc>
        <w:tc>
          <w:tcPr>
            <w:tcW w:w="37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安全运维服务  C16070400</w:t>
            </w:r>
          </w:p>
        </w:tc>
        <w:tc>
          <w:tcPr>
            <w:tcW w:w="3840"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服务内容主要包括“安全评估与检测、日常运营与保障、应急与演练支持、安全体系建设” 四大类内容，整体围绕财政网络和数据安全全流程开展防护、监测、整改及能力建设工作。一是安全评估与检测类（主动发现安全隐患）：包含渗透测试服务、脆弱性扫描检测服务、源代码审计服务、网站安全监测预警服务；二是日常运营与保障类（常态化安全维护）：资产管理服务、安全设备巡检服务、安全运营服务、重要时期安全保障服务、设备授权续期服务、漏洞整改闭环管理服务；三是应急与演练类（应对突发安全事件）：包含网络和数据安全事件应急服务、配合财政开展网络和数据安全攻防演练服务；四是体系建设与支持类（完善安全基础能力）：包含安全咨询服务、制度建设服务、安全培训服务、等保测评配合、服务人员支持。聚焦宁夏财政网络和数据安全，通过常态化安全检测、运营维护筑牢日常防护；依托应急处置、攻防演练提升风险应对能力；借助制度建设、培训咨询、等保配合等完善安全体系，全方位实现安全隐患整改闭环与安全能力提升。</w:t>
            </w:r>
          </w:p>
        </w:tc>
        <w:tc>
          <w:tcPr>
            <w:tcW w:w="58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94.5</w:t>
            </w:r>
          </w:p>
        </w:tc>
        <w:tc>
          <w:tcPr>
            <w:tcW w:w="79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否</w:t>
            </w:r>
          </w:p>
        </w:tc>
        <w:tc>
          <w:tcPr>
            <w:tcW w:w="3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不预留</w:t>
            </w:r>
          </w:p>
        </w:tc>
        <w:tc>
          <w:tcPr>
            <w:tcW w:w="714"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p>
        </w:tc>
        <w:tc>
          <w:tcPr>
            <w:tcW w:w="4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p>
        </w:tc>
        <w:tc>
          <w:tcPr>
            <w:tcW w:w="417"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kern w:val="2"/>
                <w:sz w:val="24"/>
                <w:szCs w:val="32"/>
                <w:lang w:val="en-US" w:eastAsia="zh-CN" w:bidi="ar-SA"/>
              </w:rPr>
              <w:t>2026年1月</w:t>
            </w:r>
          </w:p>
        </w:tc>
        <w:tc>
          <w:tcPr>
            <w:tcW w:w="959"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83"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highlight w:val="none"/>
                <w:lang w:val="en-US" w:eastAsia="zh-CN"/>
              </w:rPr>
            </w:pPr>
            <w:r>
              <w:rPr>
                <w:rFonts w:hint="eastAsia" w:ascii="仿宋_GB2312" w:hAnsi="仿宋_GB2312" w:eastAsia="仿宋_GB2312" w:cs="仿宋_GB2312"/>
                <w:sz w:val="24"/>
                <w:szCs w:val="32"/>
                <w:highlight w:val="none"/>
                <w:lang w:val="en-US" w:eastAsia="zh-CN"/>
              </w:rPr>
              <w:t>3</w:t>
            </w:r>
          </w:p>
        </w:tc>
        <w:tc>
          <w:tcPr>
            <w:tcW w:w="450" w:type="dxa"/>
            <w:noWrap w:val="0"/>
            <w:vAlign w:val="center"/>
          </w:tcPr>
          <w:p>
            <w:pPr>
              <w:tabs>
                <w:tab w:val="left" w:pos="993"/>
                <w:tab w:val="left" w:pos="1134"/>
                <w:tab w:val="left" w:pos="1418"/>
              </w:tabs>
              <w:spacing w:line="400" w:lineRule="exact"/>
              <w:jc w:val="left"/>
              <w:rPr>
                <w:rFonts w:hint="eastAsia" w:ascii="仿宋_GB2312" w:hAnsi="仿宋_GB2312" w:eastAsia="仿宋_GB2312" w:cs="仿宋_GB2312"/>
                <w:sz w:val="24"/>
                <w:szCs w:val="32"/>
                <w:highlight w:val="none"/>
                <w:lang w:val="en-US" w:eastAsia="zh-CN"/>
              </w:rPr>
            </w:pPr>
            <w:r>
              <w:rPr>
                <w:rFonts w:hint="eastAsia" w:ascii="仿宋_GB2312" w:hAnsi="仿宋_GB2312" w:eastAsia="仿宋_GB2312" w:cs="仿宋_GB2312"/>
                <w:sz w:val="24"/>
                <w:szCs w:val="32"/>
                <w:highlight w:val="none"/>
                <w:lang w:val="en-US" w:eastAsia="zh-CN"/>
              </w:rPr>
              <w:t>宁夏回族自治区财政厅</w:t>
            </w:r>
          </w:p>
        </w:tc>
        <w:tc>
          <w:tcPr>
            <w:tcW w:w="540" w:type="dxa"/>
            <w:noWrap w:val="0"/>
            <w:vAlign w:val="center"/>
          </w:tcPr>
          <w:p>
            <w:pPr>
              <w:tabs>
                <w:tab w:val="left" w:pos="993"/>
                <w:tab w:val="left" w:pos="1134"/>
                <w:tab w:val="left" w:pos="1418"/>
              </w:tabs>
              <w:spacing w:line="240" w:lineRule="auto"/>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自治区电子政务公共云平台宁夏财政安全增值服务项目</w:t>
            </w:r>
          </w:p>
        </w:tc>
        <w:tc>
          <w:tcPr>
            <w:tcW w:w="37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其它</w:t>
            </w:r>
            <w:r>
              <w:rPr>
                <w:rFonts w:hint="eastAsia" w:ascii="宋体" w:hAnsi="宋体" w:eastAsia="宋体" w:cs="宋体"/>
                <w:b/>
                <w:bCs/>
                <w:sz w:val="21"/>
                <w:szCs w:val="21"/>
                <w:lang w:val="en-US" w:eastAsia="zh-CN"/>
              </w:rPr>
              <w:t>增值电信服务</w:t>
            </w:r>
            <w:r>
              <w:rPr>
                <w:rFonts w:hint="eastAsia" w:ascii="仿宋_GB2312" w:hAnsi="仿宋_GB2312" w:eastAsia="仿宋_GB2312" w:cs="仿宋_GB2312"/>
                <w:b/>
                <w:bCs/>
                <w:sz w:val="24"/>
                <w:szCs w:val="32"/>
                <w:lang w:val="en-US" w:eastAsia="zh-CN"/>
              </w:rPr>
              <w:t>C17010300</w:t>
            </w:r>
          </w:p>
        </w:tc>
        <w:tc>
          <w:tcPr>
            <w:tcW w:w="3840"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为确保电信云平台、移动云平台、联通云平台三大平台业务系统的整体安全、稳定、合规运行，采购电信云平台、移动云平台联通云平台安全增值服务，构建全覆盖、无死角的政务云安全防护体系，切实保障财政数据安全和业务连续性。</w:t>
            </w:r>
          </w:p>
        </w:tc>
        <w:tc>
          <w:tcPr>
            <w:tcW w:w="58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166.21</w:t>
            </w:r>
          </w:p>
        </w:tc>
        <w:tc>
          <w:tcPr>
            <w:tcW w:w="79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lang w:val="en-US" w:eastAsia="zh-CN"/>
              </w:rPr>
              <w:t>否</w:t>
            </w:r>
          </w:p>
        </w:tc>
        <w:tc>
          <w:tcPr>
            <w:tcW w:w="3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lang w:val="en-US" w:eastAsia="zh-CN"/>
              </w:rPr>
              <w:t>不预留</w:t>
            </w:r>
          </w:p>
        </w:tc>
        <w:tc>
          <w:tcPr>
            <w:tcW w:w="714"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c>
          <w:tcPr>
            <w:tcW w:w="4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c>
          <w:tcPr>
            <w:tcW w:w="417"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kern w:val="2"/>
                <w:sz w:val="24"/>
                <w:szCs w:val="32"/>
                <w:lang w:val="en-US" w:eastAsia="zh-CN" w:bidi="ar-SA"/>
              </w:rPr>
              <w:t>2026年1月</w:t>
            </w:r>
          </w:p>
        </w:tc>
        <w:tc>
          <w:tcPr>
            <w:tcW w:w="959"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2" w:hRule="atLeast"/>
        </w:trPr>
        <w:tc>
          <w:tcPr>
            <w:tcW w:w="283"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4</w:t>
            </w:r>
          </w:p>
        </w:tc>
        <w:tc>
          <w:tcPr>
            <w:tcW w:w="450" w:type="dxa"/>
            <w:noWrap w:val="0"/>
            <w:vAlign w:val="center"/>
          </w:tcPr>
          <w:p>
            <w:pPr>
              <w:tabs>
                <w:tab w:val="left" w:pos="993"/>
                <w:tab w:val="left" w:pos="1134"/>
                <w:tab w:val="left" w:pos="1418"/>
              </w:tabs>
              <w:spacing w:line="400" w:lineRule="exact"/>
              <w:jc w:val="left"/>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宁夏回族自治区财政厅</w:t>
            </w:r>
          </w:p>
        </w:tc>
        <w:tc>
          <w:tcPr>
            <w:tcW w:w="540" w:type="dxa"/>
            <w:noWrap w:val="0"/>
            <w:vAlign w:val="center"/>
          </w:tcPr>
          <w:p>
            <w:pPr>
              <w:tabs>
                <w:tab w:val="left" w:pos="993"/>
                <w:tab w:val="left" w:pos="1134"/>
                <w:tab w:val="left" w:pos="1418"/>
              </w:tabs>
              <w:spacing w:line="240" w:lineRule="auto"/>
              <w:jc w:val="left"/>
              <w:rPr>
                <w:rFonts w:hint="eastAsia" w:ascii="宋体" w:hAnsi="宋体" w:eastAsia="宋体" w:cs="宋体"/>
                <w:b/>
                <w:bCs/>
                <w:sz w:val="21"/>
                <w:szCs w:val="21"/>
                <w:lang w:val="en-US" w:eastAsia="zh-CN"/>
              </w:rPr>
            </w:pPr>
            <w:r>
              <w:rPr>
                <w:rFonts w:hint="eastAsia" w:ascii="仿宋_GB2312" w:hAnsi="仿宋_GB2312" w:eastAsia="仿宋_GB2312" w:cs="仿宋_GB2312"/>
                <w:b/>
                <w:bCs/>
                <w:sz w:val="24"/>
                <w:szCs w:val="32"/>
                <w:lang w:val="en-US" w:eastAsia="zh-CN"/>
              </w:rPr>
              <w:t>宁夏政府采购管理系统运维服务</w:t>
            </w:r>
          </w:p>
        </w:tc>
        <w:tc>
          <w:tcPr>
            <w:tcW w:w="37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软件运维服务C16070300</w:t>
            </w:r>
          </w:p>
        </w:tc>
        <w:tc>
          <w:tcPr>
            <w:tcW w:w="3840"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rPr>
                <w:rFonts w:hint="eastAsia" w:ascii="宋体" w:hAnsi="宋体" w:eastAsia="宋体" w:cs="宋体"/>
                <w:b w:val="0"/>
                <w:bCs w:val="0"/>
                <w:kern w:val="2"/>
                <w:sz w:val="21"/>
                <w:szCs w:val="21"/>
                <w:lang w:val="en-US" w:eastAsia="zh-CN" w:bidi="ar-SA"/>
              </w:rPr>
            </w:pPr>
            <w:r>
              <w:rPr>
                <w:rFonts w:hint="eastAsia" w:ascii="仿宋_GB2312" w:hAnsi="仿宋_GB2312" w:eastAsia="仿宋_GB2312" w:cs="仿宋_GB2312"/>
                <w:b w:val="0"/>
                <w:bCs w:val="0"/>
                <w:sz w:val="24"/>
                <w:szCs w:val="32"/>
              </w:rPr>
              <w:t>1</w:t>
            </w:r>
            <w:r>
              <w:rPr>
                <w:rFonts w:hint="eastAsia" w:ascii="仿宋_GB2312" w:hAnsi="仿宋_GB2312" w:eastAsia="仿宋_GB2312" w:cs="仿宋_GB2312"/>
                <w:b w:val="0"/>
                <w:bCs w:val="0"/>
                <w:kern w:val="2"/>
                <w:sz w:val="24"/>
                <w:szCs w:val="32"/>
                <w:lang w:val="en-US" w:eastAsia="zh-CN" w:bidi="ar-SA"/>
              </w:rPr>
              <w:t>.基础平台维护需求：对政务互联网、政务外网和财政专网所承载应用系统的服务器、中间件、数据库的提供日常监控、等保加固、补丁升级、系统杀毒和数据库优化等工作。2.应用系统维护需求：6个对外网站（网站作为宁夏政府采购业务对外服务窗口，其网站页面版面、各栏目配置、运行数据及网站操作权限都有可能需要根据实际使用情况进行更新）、20个应用子系统和89个接口进行定期巡检，支持网站版面的小幅修改，提供采购人、代理机构、专家等系统用户的培训工作，处理和解决用户使用系统中出现的任何问题，按要求完成采购业务流程调整等.3.软件优化升级需求：提供场外技术团队，定期与用户沟通业务需求，负责业务系统的日常性升级和特定的查询统计需求，配合与相关系统的接口进行优化完善及联调测试，确保接口数据畅通，针对系统不定期进行漏洞检测、渗透检测，对检测发现的漏洞及时予以修复和安全整改等。4.其他服务需求：提供多样化运维服务方式，不少于6人的现场驻场人员，提供5*8小时服务热线、现场响应服务和7*24小时应急响应服务，对于重大事件、重要维护、特殊任务保证随时值守待命等。</w:t>
            </w:r>
          </w:p>
        </w:tc>
        <w:tc>
          <w:tcPr>
            <w:tcW w:w="58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24"/>
                <w:lang w:val="en-US" w:eastAsia="zh-CN"/>
              </w:rPr>
              <w:t>145.36</w:t>
            </w:r>
          </w:p>
        </w:tc>
        <w:tc>
          <w:tcPr>
            <w:tcW w:w="79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是</w:t>
            </w:r>
          </w:p>
        </w:tc>
        <w:tc>
          <w:tcPr>
            <w:tcW w:w="3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整体预留</w:t>
            </w:r>
          </w:p>
        </w:tc>
        <w:tc>
          <w:tcPr>
            <w:tcW w:w="714"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kern w:val="2"/>
                <w:sz w:val="24"/>
                <w:szCs w:val="32"/>
                <w:lang w:val="en-US" w:eastAsia="zh-CN" w:bidi="ar-SA"/>
              </w:rPr>
            </w:pPr>
            <w:r>
              <w:rPr>
                <w:rFonts w:hint="eastAsia" w:ascii="仿宋_GB2312" w:hAnsi="仿宋_GB2312" w:eastAsia="仿宋_GB2312" w:cs="仿宋_GB2312"/>
                <w:kern w:val="2"/>
                <w:sz w:val="24"/>
                <w:szCs w:val="32"/>
                <w:lang w:val="en-US" w:eastAsia="zh-CN" w:bidi="ar-SA"/>
              </w:rPr>
              <w:t>100%</w:t>
            </w:r>
          </w:p>
        </w:tc>
        <w:tc>
          <w:tcPr>
            <w:tcW w:w="4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p>
        </w:tc>
        <w:tc>
          <w:tcPr>
            <w:tcW w:w="417"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lang w:val="en-US" w:eastAsia="zh-CN"/>
              </w:rPr>
              <w:t>2026年1月</w:t>
            </w:r>
          </w:p>
        </w:tc>
        <w:tc>
          <w:tcPr>
            <w:tcW w:w="959"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6" w:hRule="atLeast"/>
        </w:trPr>
        <w:tc>
          <w:tcPr>
            <w:tcW w:w="283"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5</w:t>
            </w:r>
          </w:p>
        </w:tc>
        <w:tc>
          <w:tcPr>
            <w:tcW w:w="450" w:type="dxa"/>
            <w:noWrap w:val="0"/>
            <w:vAlign w:val="center"/>
          </w:tcPr>
          <w:p>
            <w:pPr>
              <w:tabs>
                <w:tab w:val="left" w:pos="993"/>
                <w:tab w:val="left" w:pos="1134"/>
                <w:tab w:val="left" w:pos="1418"/>
              </w:tabs>
              <w:spacing w:line="400" w:lineRule="exact"/>
              <w:jc w:val="left"/>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宁夏回族自治区财政厅</w:t>
            </w:r>
          </w:p>
        </w:tc>
        <w:tc>
          <w:tcPr>
            <w:tcW w:w="540" w:type="dxa"/>
            <w:noWrap w:val="0"/>
            <w:vAlign w:val="center"/>
          </w:tcPr>
          <w:p>
            <w:pPr>
              <w:tabs>
                <w:tab w:val="left" w:pos="993"/>
                <w:tab w:val="left" w:pos="1134"/>
                <w:tab w:val="left" w:pos="1418"/>
              </w:tabs>
              <w:spacing w:line="240" w:lineRule="auto"/>
              <w:jc w:val="left"/>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24"/>
                <w:lang w:eastAsia="zh-CN"/>
              </w:rPr>
              <w:t>宁夏财政数据中心机柜租赁项目</w:t>
            </w:r>
          </w:p>
        </w:tc>
        <w:tc>
          <w:tcPr>
            <w:tcW w:w="3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安全集成实施服务C16020400</w:t>
            </w:r>
          </w:p>
        </w:tc>
        <w:tc>
          <w:tcPr>
            <w:tcW w:w="3840" w:type="dxa"/>
            <w:noWrap w:val="0"/>
            <w:vAlign w:val="center"/>
          </w:tcPr>
          <w:p>
            <w:pPr>
              <w:pageBreakBefore w:val="0"/>
              <w:widowControl w:val="0"/>
              <w:tabs>
                <w:tab w:val="left" w:pos="993"/>
                <w:tab w:val="left" w:pos="1134"/>
                <w:tab w:val="left" w:pos="1418"/>
              </w:tabs>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宁夏财政厅实施了数据中心机房搬迁项目，将部分软硬件设备托管到宁夏联通IDC机房空间。目前，宁夏财政厅在宁夏联通IDC机房共租赁48个机柜，已使用32个机柜。共有161台设备，其中交换机34台、路由器8台、防火墙9台、X86服务器66台、刀片服务器7台、小型机8台、存储9台以及其它安全设备20台，设备供电稳定性、设备运行工况和稳定性都得到了明显提升。</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rPr>
                <w:rFonts w:hint="eastAsia" w:ascii="仿宋_GB2312" w:hAnsi="仿宋_GB2312" w:eastAsia="仿宋_GB2312" w:cs="仿宋_GB2312"/>
                <w:sz w:val="24"/>
                <w:szCs w:val="32"/>
              </w:rPr>
            </w:pPr>
            <w:r>
              <w:rPr>
                <w:rFonts w:hint="eastAsia" w:ascii="仿宋_GB2312" w:hAnsi="仿宋_GB2312" w:eastAsia="仿宋_GB2312" w:cs="仿宋_GB2312"/>
                <w:b w:val="0"/>
                <w:bCs/>
                <w:kern w:val="2"/>
                <w:sz w:val="24"/>
                <w:szCs w:val="24"/>
                <w:lang w:val="en-US" w:eastAsia="zh-CN" w:bidi="ar-SA"/>
              </w:rPr>
              <w:t>为保障宁夏财政继续平稳运行，需继续租赁宁夏联通IDC机房48个屏蔽机柜、2条千兆裸光纤、2条万兆裸光纤、1条500M光纤、1条200M光纤。</w:t>
            </w:r>
          </w:p>
        </w:tc>
        <w:tc>
          <w:tcPr>
            <w:tcW w:w="58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32"/>
                <w:lang w:val="en-US" w:eastAsia="zh-CN"/>
              </w:rPr>
              <w:t>179</w:t>
            </w:r>
          </w:p>
        </w:tc>
        <w:tc>
          <w:tcPr>
            <w:tcW w:w="79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否</w:t>
            </w:r>
          </w:p>
        </w:tc>
        <w:tc>
          <w:tcPr>
            <w:tcW w:w="3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不预留</w:t>
            </w:r>
          </w:p>
        </w:tc>
        <w:tc>
          <w:tcPr>
            <w:tcW w:w="714"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c>
          <w:tcPr>
            <w:tcW w:w="4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p>
        </w:tc>
        <w:tc>
          <w:tcPr>
            <w:tcW w:w="417"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kern w:val="2"/>
                <w:sz w:val="24"/>
                <w:szCs w:val="32"/>
                <w:lang w:val="en-US" w:eastAsia="zh-CN" w:bidi="ar-SA"/>
              </w:rPr>
              <w:t>2026年1月</w:t>
            </w:r>
          </w:p>
        </w:tc>
        <w:tc>
          <w:tcPr>
            <w:tcW w:w="959"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83"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6</w:t>
            </w:r>
          </w:p>
        </w:tc>
        <w:tc>
          <w:tcPr>
            <w:tcW w:w="450" w:type="dxa"/>
            <w:noWrap w:val="0"/>
            <w:vAlign w:val="center"/>
          </w:tcPr>
          <w:p>
            <w:pPr>
              <w:tabs>
                <w:tab w:val="left" w:pos="993"/>
                <w:tab w:val="left" w:pos="1134"/>
                <w:tab w:val="left" w:pos="1418"/>
              </w:tabs>
              <w:spacing w:line="400" w:lineRule="exact"/>
              <w:jc w:val="left"/>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宁夏回族自治区财政厅</w:t>
            </w:r>
          </w:p>
        </w:tc>
        <w:tc>
          <w:tcPr>
            <w:tcW w:w="540" w:type="dxa"/>
            <w:noWrap w:val="0"/>
            <w:vAlign w:val="center"/>
          </w:tcPr>
          <w:p>
            <w:pPr>
              <w:tabs>
                <w:tab w:val="left" w:pos="993"/>
                <w:tab w:val="left" w:pos="1134"/>
                <w:tab w:val="left" w:pos="1418"/>
              </w:tabs>
              <w:spacing w:line="24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宁夏预算管理一体化债务管理系统</w:t>
            </w:r>
          </w:p>
          <w:p>
            <w:pPr>
              <w:tabs>
                <w:tab w:val="left" w:pos="993"/>
                <w:tab w:val="left" w:pos="1134"/>
                <w:tab w:val="left" w:pos="1418"/>
              </w:tabs>
              <w:spacing w:line="24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运维项目</w:t>
            </w:r>
          </w:p>
        </w:tc>
        <w:tc>
          <w:tcPr>
            <w:tcW w:w="3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软件运维服务C16070300</w:t>
            </w:r>
          </w:p>
        </w:tc>
        <w:tc>
          <w:tcPr>
            <w:tcW w:w="3840"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实现对财政部专项债券穿透式监测系统、财政部地方政府融资平台债务监测系统以及宁夏回族自治区债务整合一体化系统等3个子系统的现场业务支持，提供7*24小时运维服务，保障对我区政府性债务的全面监管和从债券发行到还本付息的全生命周期闭环管理。</w:t>
            </w:r>
          </w:p>
        </w:tc>
        <w:tc>
          <w:tcPr>
            <w:tcW w:w="585" w:type="dxa"/>
            <w:noWrap w:val="0"/>
            <w:vAlign w:val="center"/>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74.85</w:t>
            </w:r>
          </w:p>
        </w:tc>
        <w:tc>
          <w:tcPr>
            <w:tcW w:w="79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lang w:val="en-US" w:eastAsia="zh-CN"/>
              </w:rPr>
              <w:t>是</w:t>
            </w:r>
          </w:p>
        </w:tc>
        <w:tc>
          <w:tcPr>
            <w:tcW w:w="3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lang w:val="en-US" w:eastAsia="zh-CN"/>
              </w:rPr>
              <w:t>整体预留</w:t>
            </w:r>
          </w:p>
        </w:tc>
        <w:tc>
          <w:tcPr>
            <w:tcW w:w="714"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kern w:val="2"/>
                <w:sz w:val="24"/>
                <w:szCs w:val="32"/>
                <w:lang w:val="en-US" w:eastAsia="zh-CN" w:bidi="ar-SA"/>
              </w:rPr>
              <w:t>100%</w:t>
            </w:r>
          </w:p>
        </w:tc>
        <w:tc>
          <w:tcPr>
            <w:tcW w:w="475"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c>
          <w:tcPr>
            <w:tcW w:w="417"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kern w:val="2"/>
                <w:sz w:val="24"/>
                <w:szCs w:val="32"/>
                <w:lang w:val="en-US" w:eastAsia="zh-CN" w:bidi="ar-SA"/>
              </w:rPr>
              <w:t>2026年1月</w:t>
            </w:r>
          </w:p>
        </w:tc>
        <w:tc>
          <w:tcPr>
            <w:tcW w:w="959" w:type="dxa"/>
            <w:noWrap w:val="0"/>
            <w:vAlign w:val="center"/>
          </w:tcPr>
          <w:p>
            <w:pPr>
              <w:tabs>
                <w:tab w:val="left" w:pos="993"/>
                <w:tab w:val="left" w:pos="1134"/>
                <w:tab w:val="left" w:pos="1418"/>
              </w:tabs>
              <w:spacing w:line="400" w:lineRule="exact"/>
              <w:jc w:val="center"/>
              <w:rPr>
                <w:rFonts w:hint="eastAsia" w:ascii="仿宋_GB2312" w:hAnsi="仿宋_GB2312" w:eastAsia="仿宋_GB2312" w:cs="仿宋_GB2312"/>
                <w:kern w:val="2"/>
                <w:sz w:val="24"/>
                <w:szCs w:val="32"/>
                <w:lang w:val="en-US" w:eastAsia="zh-CN" w:bidi="ar-SA"/>
              </w:rPr>
            </w:pPr>
          </w:p>
        </w:tc>
      </w:tr>
    </w:tbl>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20" w:lineRule="exact"/>
        <w:ind w:firstLine="4160" w:firstLineChars="1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宁夏回族自治区财政厅</w:t>
      </w:r>
    </w:p>
    <w:p>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20" w:lineRule="exact"/>
        <w:ind w:right="480" w:firstLine="960" w:firstLineChars="300"/>
        <w:jc w:val="center"/>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日  </w:t>
      </w:r>
    </w:p>
    <w:p/>
    <w:p/>
    <w:sectPr>
      <w:footerReference r:id="rId3" w:type="default"/>
      <w:pgSz w:w="11906" w:h="16838"/>
      <w:pgMar w:top="1440" w:right="1803" w:bottom="93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AD26B"/>
    <w:multiLevelType w:val="multilevel"/>
    <w:tmpl w:val="589AD26B"/>
    <w:lvl w:ilvl="0" w:tentative="0">
      <w:start w:val="1"/>
      <w:numFmt w:val="chineseCounting"/>
      <w:suff w:val="nothing"/>
      <w:lvlText w:val="%1、"/>
      <w:lvlJc w:val="left"/>
      <w:pPr>
        <w:tabs>
          <w:tab w:val="left" w:pos="0"/>
        </w:tabs>
        <w:ind w:left="0" w:firstLine="400"/>
      </w:pPr>
      <w:rPr>
        <w:rFonts w:hint="eastAsia" w:ascii="宋体" w:hAnsi="宋体" w:eastAsia="黑体" w:cs="黑体"/>
        <w:sz w:val="30"/>
      </w:rPr>
    </w:lvl>
    <w:lvl w:ilvl="1" w:tentative="0">
      <w:start w:val="1"/>
      <w:numFmt w:val="chineseCounting"/>
      <w:suff w:val="nothing"/>
      <w:lvlText w:val="（%2）"/>
      <w:lvlJc w:val="left"/>
      <w:pPr>
        <w:tabs>
          <w:tab w:val="left" w:pos="0"/>
        </w:tabs>
        <w:ind w:left="0" w:firstLine="400"/>
      </w:pPr>
      <w:rPr>
        <w:rFonts w:hint="eastAsia" w:ascii="宋体" w:hAnsi="宋体" w:eastAsia="楷体_GB2312" w:cs="楷体_GB2312"/>
        <w:b/>
        <w:sz w:val="28"/>
      </w:rPr>
    </w:lvl>
    <w:lvl w:ilvl="2" w:tentative="0">
      <w:start w:val="1"/>
      <w:numFmt w:val="decimal"/>
      <w:pStyle w:val="3"/>
      <w:suff w:val="nothing"/>
      <w:lvlText w:val="%3．"/>
      <w:lvlJc w:val="left"/>
      <w:pPr>
        <w:tabs>
          <w:tab w:val="left" w:pos="0"/>
        </w:tabs>
        <w:ind w:left="0" w:firstLine="402"/>
      </w:pPr>
      <w:rPr>
        <w:rFonts w:hint="eastAsia" w:ascii="微软雅黑" w:hAnsi="微软雅黑" w:eastAsia="微软雅黑" w:cs="仿宋_GB2312"/>
        <w:b/>
        <w:bCs/>
        <w:i w:val="0"/>
        <w:iCs w:val="0"/>
        <w:caps w:val="0"/>
        <w:smallCaps w:val="0"/>
        <w:strike w:val="0"/>
        <w:dstrike w:val="0"/>
        <w:color w:val="auto"/>
        <w:spacing w:val="0"/>
        <w:w w:val="100"/>
        <w:kern w:val="0"/>
        <w:position w:val="0"/>
        <w:sz w:val="24"/>
        <w:u w:val="none"/>
        <w:shd w:val="clear" w:color="auto" w:fill="auto"/>
      </w:rPr>
    </w:lvl>
    <w:lvl w:ilvl="3" w:tentative="0">
      <w:start w:val="1"/>
      <w:numFmt w:val="decimal"/>
      <w:suff w:val="nothing"/>
      <w:lvlText w:val="（%4）"/>
      <w:lvlJc w:val="left"/>
      <w:pPr>
        <w:tabs>
          <w:tab w:val="left" w:pos="0"/>
        </w:tabs>
        <w:ind w:left="420" w:hanging="420"/>
      </w:pPr>
      <w:rPr>
        <w:rFonts w:hint="eastAsia" w:ascii="宋体" w:hAnsi="宋体" w:eastAsia="宋体" w:cs="宋体"/>
      </w:rPr>
    </w:lvl>
    <w:lvl w:ilvl="4" w:tentative="0">
      <w:start w:val="1"/>
      <w:numFmt w:val="decimal"/>
      <w:suff w:val="nothing"/>
      <w:lvlText w:val="%5）"/>
      <w:lvlJc w:val="left"/>
      <w:pPr>
        <w:tabs>
          <w:tab w:val="left" w:pos="0"/>
        </w:tabs>
        <w:ind w:left="20" w:firstLine="1171"/>
      </w:pPr>
      <w:rPr>
        <w:rFonts w:hint="eastAsia" w:ascii="宋体" w:hAnsi="宋体" w:eastAsia="宋体" w:cs="宋体"/>
      </w:rPr>
    </w:lvl>
    <w:lvl w:ilvl="5" w:tentative="0">
      <w:start w:val="1"/>
      <w:numFmt w:val="upperLetter"/>
      <w:suff w:val="nothing"/>
      <w:lvlText w:val="%6."/>
      <w:lvlJc w:val="left"/>
      <w:pPr>
        <w:tabs>
          <w:tab w:val="left" w:pos="0"/>
        </w:tabs>
        <w:ind w:left="306" w:firstLine="218"/>
      </w:pPr>
      <w:rPr>
        <w:rFonts w:hint="eastAsia" w:ascii="宋体" w:hAnsi="宋体" w:eastAsia="宋体" w:cs="宋体"/>
      </w:rPr>
    </w:lvl>
    <w:lvl w:ilvl="6" w:tentative="0">
      <w:start w:val="1"/>
      <w:numFmt w:val="lowerLetter"/>
      <w:suff w:val="nothing"/>
      <w:lvlText w:val="%7)"/>
      <w:lvlJc w:val="left"/>
      <w:pPr>
        <w:tabs>
          <w:tab w:val="left" w:pos="0"/>
        </w:tabs>
        <w:ind w:left="0" w:firstLine="524"/>
      </w:pPr>
      <w:rPr>
        <w:rFonts w:hint="eastAsia" w:ascii="宋体" w:hAnsi="宋体" w:eastAsia="宋体" w:cs="宋体"/>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revisionView w:markup="0"/>
  <w:documentProtection w:edit="comments" w:enforcement="1" w:cryptProviderType="rsaFull" w:cryptAlgorithmClass="hash" w:cryptAlgorithmType="typeAny" w:cryptAlgorithmSid="4" w:cryptSpinCount="0" w:hash="8njagZf4nj4G5RdIQDgiITtJ4ps=" w:salt="gLxib51WgdIv98T8419hm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6631E"/>
    <w:rsid w:val="3DF380DC"/>
    <w:rsid w:val="6A36631E"/>
    <w:rsid w:val="8FCE2EB4"/>
    <w:rsid w:val="BFF5D469"/>
    <w:rsid w:val="FDDF5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numPr>
        <w:ilvl w:val="2"/>
        <w:numId w:val="1"/>
      </w:numPr>
      <w:ind w:firstLineChars="0"/>
      <w:outlineLvl w:val="2"/>
    </w:pPr>
    <w:rPr>
      <w:b/>
      <w:bCs/>
      <w:kern w:val="0"/>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400" w:lineRule="atLeast"/>
      <w:ind w:firstLine="640" w:firstLineChars="200"/>
    </w:pPr>
    <w:rPr>
      <w:rFonts w:ascii="Times New Roman" w:hAnsi="Times New Roman" w:eastAsia="仿宋_GB2312" w:cs="Times New Roman"/>
      <w:kern w:val="0"/>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2020-10-28T03:29:00Z</dcterms:created>
  <dc:creator>Distance。</dc:creator>
  <cp:lastModifiedBy>renxue</cp:lastModifiedBy>
  <dcterms:modified xsi:type="dcterms:W3CDTF">2025-12-15T17:38:30Z</dcterms:modified>
  <dc:title>宁夏财政厅 2026年1月（至）2月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