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36"/>
          <w:szCs w:val="36"/>
        </w:rPr>
        <w:t>财政拨款收支预算总表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  <w:t>                                                                单位：万元</w:t>
      </w:r>
    </w:p>
    <w:tbl>
      <w:tblPr>
        <w:tblStyle w:val="4"/>
        <w:tblW w:w="830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909"/>
        <w:gridCol w:w="2337"/>
        <w:gridCol w:w="909"/>
        <w:gridCol w:w="909"/>
        <w:gridCol w:w="8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收    入</w:t>
            </w:r>
          </w:p>
        </w:tc>
        <w:tc>
          <w:tcPr>
            <w:tcW w:w="498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支    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项   目</w:t>
            </w:r>
          </w:p>
        </w:tc>
        <w:tc>
          <w:tcPr>
            <w:tcW w:w="9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预算数</w:t>
            </w:r>
          </w:p>
        </w:tc>
        <w:tc>
          <w:tcPr>
            <w:tcW w:w="23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项目（按功能分类）</w:t>
            </w:r>
          </w:p>
        </w:tc>
        <w:tc>
          <w:tcPr>
            <w:tcW w:w="2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预算数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9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23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小计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公共预算财政拨款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政府性基金预算财政拨款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一、本年收入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1145.23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一、本年支出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1145.23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1145.23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（一）公共预算财政拨款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1145.23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（一）一般公共服务支出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（二）政府性基金预算财政拨款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（二）外交支出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（三）国防支出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（四）公共安全支出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915.00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915.00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（五）教育支出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（六）科学技术支出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（七）文化体育与传媒支出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（八）社会保障和就业支出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118.74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118.74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（九）医疗卫生与计划生育支出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60.76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60.76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（十）节能环保支出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（十一）城乡社区支出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（十二）农林水支出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（十三）交通运输支出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（十四）资源勘探信息等支出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（十五）商业服务业等支出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（十六）金融支出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（十七）国土海洋气象等支出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（十八）住房保障支出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50.73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50.73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（十九）粮油物资储备支出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（二十）国债还本付息支出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（二十一）其他支出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二、上年结转结余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（一）公共预算财政拨款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二、年末结转结余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（二）政府性基金预算财政拨款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3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收入总计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1,145.23</w:t>
            </w:r>
          </w:p>
        </w:tc>
        <w:tc>
          <w:tcPr>
            <w:tcW w:w="498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支出合计1,145.23</w:t>
            </w: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部门收支预算总表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                                                               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单位：万元</w:t>
      </w:r>
    </w:p>
    <w:tbl>
      <w:tblPr>
        <w:tblW w:w="8336" w:type="dxa"/>
        <w:tblInd w:w="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2"/>
        <w:gridCol w:w="934"/>
        <w:gridCol w:w="2413"/>
        <w:gridCol w:w="864"/>
        <w:gridCol w:w="864"/>
        <w:gridCol w:w="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收    入</w:t>
            </w:r>
          </w:p>
        </w:tc>
        <w:tc>
          <w:tcPr>
            <w:tcW w:w="49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支    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   目</w:t>
            </w:r>
          </w:p>
        </w:tc>
        <w:tc>
          <w:tcPr>
            <w:tcW w:w="9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预算数</w:t>
            </w:r>
          </w:p>
        </w:tc>
        <w:tc>
          <w:tcPr>
            <w:tcW w:w="24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项目（按功能分类）</w:t>
            </w:r>
          </w:p>
        </w:tc>
        <w:tc>
          <w:tcPr>
            <w:tcW w:w="25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预算数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9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24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公共预算财政拨款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政府性基金预算财政拨款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一、本年收入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1145.23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一、本年支出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1145.23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1145.23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（一）公共预算财政拨款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1145.23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（一）一般公共服务支出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（二）政府性基金预算财政拨款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（二）外交支出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（三）事业收入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（三）国防支出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（四）事业单位经营收入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（四）公共安全支出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915.00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915.00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（五）其他收入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（五）教育支出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（六）科学技术支出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（七）文化体育与传媒支出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（八）社会保障和就业支出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118.74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118.74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（九）医疗卫生与计划生育支出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60.76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60.76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（十）节能环保支出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（十一）城乡社区支出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（十二）农林水支出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（十三）交通运输支出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（十四）资源勘探信息等支出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（十五）商业服务业等支出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（十六）金融支出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（十七）国土海洋气象等支出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（十八）住房保障支出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50.73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50.73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（十九）粮油物资储备支出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（二十）国债还本付息支出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（二十一）其他支出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二、上年结转结余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其中：公共预算财政拨款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二、年末结转结余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1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政府性基金预算财政拨款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其中：公共预算财政拨款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2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1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政府性基金预算财政拨款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收入总计</w:t>
            </w:r>
          </w:p>
        </w:tc>
        <w:tc>
          <w:tcPr>
            <w:tcW w:w="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1,145.23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9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支出总计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1,145.23</w:t>
            </w: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部门收入总表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3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                                                               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单位：万元</w:t>
      </w:r>
    </w:p>
    <w:tbl>
      <w:tblPr>
        <w:tblW w:w="830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917"/>
        <w:gridCol w:w="736"/>
        <w:gridCol w:w="736"/>
        <w:gridCol w:w="736"/>
        <w:gridCol w:w="592"/>
        <w:gridCol w:w="586"/>
        <w:gridCol w:w="586"/>
        <w:gridCol w:w="586"/>
        <w:gridCol w:w="586"/>
        <w:gridCol w:w="587"/>
        <w:gridCol w:w="4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21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功能分类科目</w:t>
            </w:r>
          </w:p>
        </w:tc>
        <w:tc>
          <w:tcPr>
            <w:tcW w:w="7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20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财政拨款收入</w:t>
            </w:r>
          </w:p>
        </w:tc>
        <w:tc>
          <w:tcPr>
            <w:tcW w:w="5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事业收入</w:t>
            </w:r>
          </w:p>
        </w:tc>
        <w:tc>
          <w:tcPr>
            <w:tcW w:w="5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事业单位经营收入</w:t>
            </w:r>
          </w:p>
        </w:tc>
        <w:tc>
          <w:tcPr>
            <w:tcW w:w="5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上级补助收入</w:t>
            </w:r>
          </w:p>
        </w:tc>
        <w:tc>
          <w:tcPr>
            <w:tcW w:w="5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下级单位上缴收入</w:t>
            </w:r>
          </w:p>
        </w:tc>
        <w:tc>
          <w:tcPr>
            <w:tcW w:w="58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其他收入</w:t>
            </w:r>
          </w:p>
        </w:tc>
        <w:tc>
          <w:tcPr>
            <w:tcW w:w="4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用事业基金弥补收支差额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科目编码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科目名称</w:t>
            </w:r>
          </w:p>
        </w:tc>
        <w:tc>
          <w:tcPr>
            <w:tcW w:w="7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公共财政预算拨款收入</w:t>
            </w:r>
          </w:p>
        </w:tc>
        <w:tc>
          <w:tcPr>
            <w:tcW w:w="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政府性基金预算拨款收入</w:t>
            </w:r>
          </w:p>
        </w:tc>
        <w:tc>
          <w:tcPr>
            <w:tcW w:w="5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5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5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5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5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4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640001116001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青铜峡市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人民检察院本级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1,145.23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1,145.23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1,145.23</w:t>
            </w:r>
          </w:p>
        </w:tc>
        <w:tc>
          <w:tcPr>
            <w:tcW w:w="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部门支出总表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3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                                                              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单位：万元</w:t>
      </w:r>
    </w:p>
    <w:tbl>
      <w:tblPr>
        <w:tblW w:w="830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531"/>
        <w:gridCol w:w="999"/>
        <w:gridCol w:w="971"/>
        <w:gridCol w:w="1019"/>
        <w:gridCol w:w="925"/>
        <w:gridCol w:w="925"/>
        <w:gridCol w:w="7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功能分类科目</w:t>
            </w:r>
          </w:p>
        </w:tc>
        <w:tc>
          <w:tcPr>
            <w:tcW w:w="9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9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基本支出</w:t>
            </w:r>
          </w:p>
        </w:tc>
        <w:tc>
          <w:tcPr>
            <w:tcW w:w="101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项目支出</w:t>
            </w:r>
          </w:p>
        </w:tc>
        <w:tc>
          <w:tcPr>
            <w:tcW w:w="9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上缴上级支出</w:t>
            </w:r>
          </w:p>
        </w:tc>
        <w:tc>
          <w:tcPr>
            <w:tcW w:w="9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事业单位经营支出</w:t>
            </w:r>
          </w:p>
        </w:tc>
        <w:tc>
          <w:tcPr>
            <w:tcW w:w="7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对下级单位补助支出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科目编码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科目名称</w:t>
            </w:r>
          </w:p>
        </w:tc>
        <w:tc>
          <w:tcPr>
            <w:tcW w:w="9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9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10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9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9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B2B2B"/>
                <w:spacing w:val="0"/>
                <w:sz w:val="11"/>
                <w:szCs w:val="1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640001116001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青铜峡市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人民检察院本级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1,145.23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998.23</w:t>
            </w:r>
          </w:p>
        </w:tc>
        <w:tc>
          <w:tcPr>
            <w:tcW w:w="1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147.00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204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公共安全支出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915.00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768.00</w:t>
            </w:r>
          </w:p>
        </w:tc>
        <w:tc>
          <w:tcPr>
            <w:tcW w:w="1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147.00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208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社会保障和就业支出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118.74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118.74</w:t>
            </w:r>
          </w:p>
        </w:tc>
        <w:tc>
          <w:tcPr>
            <w:tcW w:w="1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210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医疗卫生与计划生育支出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60.76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60.76</w:t>
            </w:r>
          </w:p>
        </w:tc>
        <w:tc>
          <w:tcPr>
            <w:tcW w:w="1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221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住房保障支出</w:t>
            </w:r>
          </w:p>
        </w:tc>
        <w:tc>
          <w:tcPr>
            <w:tcW w:w="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50.73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50.73</w:t>
            </w:r>
          </w:p>
        </w:tc>
        <w:tc>
          <w:tcPr>
            <w:tcW w:w="1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</w:tbl>
    <w:p>
      <w:pPr>
        <w:rPr>
          <w:sz w:val="20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44262"/>
    <w:rsid w:val="17D240C0"/>
    <w:rsid w:val="31FF5569"/>
    <w:rsid w:val="3CE4317B"/>
    <w:rsid w:val="455851E7"/>
    <w:rsid w:val="49D31DA1"/>
    <w:rsid w:val="514E5808"/>
    <w:rsid w:val="59D85F00"/>
    <w:rsid w:val="5CEB2E8C"/>
    <w:rsid w:val="76CC680A"/>
    <w:rsid w:val="78D074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2017-12-08T07:56:38Z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