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autoSpaceDE w:val="0"/>
        <w:autoSpaceDN w:val="0"/>
        <w:adjustRightInd w:val="0"/>
        <w:snapToGrid w:val="0"/>
        <w:spacing w:before="157" w:beforeLines="50" w:beforeAutospacing="0" w:after="0" w:afterAutospacing="0"/>
        <w:ind w:left="0" w:right="0"/>
        <w:jc w:val="both"/>
        <w:textAlignment w:val="baseline"/>
        <w:rPr>
          <w:rFonts w:hint="eastAsia" w:ascii="黑体" w:hAnsi="宋体" w:eastAsia="黑体" w:cs="黑体"/>
          <w:color w:val="000000"/>
          <w:spacing w:val="3"/>
          <w:kern w:val="0"/>
          <w:sz w:val="32"/>
          <w:szCs w:val="32"/>
          <w:vertAlign w:val="baseline"/>
        </w:rPr>
      </w:pPr>
      <w:r>
        <w:rPr>
          <w:rFonts w:hint="eastAsia" w:ascii="黑体" w:hAnsi="宋体" w:eastAsia="黑体" w:cs="黑体"/>
          <w:color w:val="000000"/>
          <w:spacing w:val="3"/>
          <w:kern w:val="0"/>
          <w:sz w:val="32"/>
          <w:szCs w:val="32"/>
          <w:vertAlign w:val="baseline"/>
          <w:lang w:val="en-US" w:eastAsia="zh-CN" w:bidi="ar"/>
        </w:rPr>
        <w:t>附件1</w:t>
      </w:r>
      <w:bookmarkStart w:id="0" w:name="_GoBack"/>
      <w:bookmarkEnd w:id="0"/>
    </w:p>
    <w:tbl>
      <w:tblPr>
        <w:tblStyle w:val="5"/>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850"/>
        <w:gridCol w:w="1663"/>
        <w:gridCol w:w="1845"/>
        <w:gridCol w:w="1426"/>
        <w:gridCol w:w="149"/>
        <w:gridCol w:w="1268"/>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637"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center"/>
              <w:rPr>
                <w:rFonts w:hint="eastAsia" w:ascii="宋体" w:hAnsi="宋体" w:eastAsia="宋体" w:cs="宋体"/>
                <w:b/>
                <w:i w:val="0"/>
                <w:color w:val="000000"/>
                <w:kern w:val="2"/>
                <w:sz w:val="28"/>
                <w:szCs w:val="28"/>
              </w:rPr>
            </w:pPr>
            <w:r>
              <w:rPr>
                <w:rFonts w:hint="eastAsia" w:ascii="宋体" w:hAnsi="宋体" w:eastAsia="宋体" w:cs="宋体"/>
                <w:b/>
                <w:i w:val="0"/>
                <w:color w:val="000000"/>
                <w:kern w:val="0"/>
                <w:sz w:val="32"/>
                <w:szCs w:val="32"/>
                <w:lang w:val="en-US" w:eastAsia="zh-CN" w:bidi="ar"/>
              </w:rPr>
              <w:t>中央对地方转移支付项目绩效评价表</w:t>
            </w:r>
            <w:r>
              <w:rPr>
                <w:rStyle w:val="7"/>
                <w:rFonts w:hint="eastAsia" w:ascii="宋体" w:hAnsi="宋体" w:eastAsia="宋体" w:cs="宋体"/>
                <w:color w:val="000000"/>
                <w:kern w:val="2"/>
                <w:sz w:val="32"/>
                <w:szCs w:val="32"/>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37"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（2024年度）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87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项目名称</w:t>
            </w:r>
          </w:p>
        </w:tc>
        <w:tc>
          <w:tcPr>
            <w:tcW w:w="7763" w:type="dxa"/>
            <w:gridSpan w:val="6"/>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危重孕产妇和新生儿诊断救治能力提升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87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中央主管部门</w:t>
            </w:r>
          </w:p>
        </w:tc>
        <w:tc>
          <w:tcPr>
            <w:tcW w:w="7763" w:type="dxa"/>
            <w:gridSpan w:val="6"/>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国家卫生健康委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87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地方主管部门</w:t>
            </w:r>
          </w:p>
        </w:tc>
        <w:tc>
          <w:tcPr>
            <w:tcW w:w="3508"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宁夏回族自治区卫生健康委</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实施单位</w:t>
            </w: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eastAsia="zh-CN"/>
              </w:rPr>
            </w:pPr>
            <w:r>
              <w:rPr>
                <w:rFonts w:hint="eastAsia" w:ascii="宋体" w:hAnsi="宋体" w:cs="宋体"/>
                <w:i w:val="0"/>
                <w:color w:val="000000"/>
                <w:kern w:val="2"/>
                <w:sz w:val="20"/>
                <w:szCs w:val="20"/>
                <w:lang w:eastAsia="zh-CN"/>
              </w:rPr>
              <w:t>吴忠市人民医院、固原市妇幼保健院、北京大学第一医院宁夏妇女儿童医院（宁夏回族自治区妇幼保健院）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874" w:type="dxa"/>
            <w:gridSpan w:val="2"/>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项目资金（万元）</w:t>
            </w: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rPr>
                <w:rFonts w:hint="eastAsia" w:ascii="宋体" w:hAnsi="宋体" w:eastAsia="宋体" w:cs="宋体"/>
                <w:i w:val="0"/>
                <w:color w:val="000000"/>
                <w:kern w:val="2"/>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全年预算数（A）</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全年执行数（B）</w:t>
            </w: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执行率（B/A)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874"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年度资金总额：</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1300</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874"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kern w:val="2"/>
                <w:sz w:val="20"/>
                <w:szCs w:val="20"/>
              </w:rPr>
            </w:pPr>
            <w:r>
              <w:rPr>
                <w:rStyle w:val="8"/>
                <w:rFonts w:hint="eastAsia" w:ascii="宋体" w:hAnsi="宋体" w:eastAsia="宋体" w:cs="宋体"/>
                <w:color w:val="000000"/>
                <w:kern w:val="2"/>
                <w:sz w:val="20"/>
                <w:szCs w:val="20"/>
                <w:lang w:val="en-US" w:eastAsia="zh-CN" w:bidi="ar"/>
              </w:rPr>
              <w:t>其中：中央补助</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1300</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874"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kern w:val="2"/>
                <w:sz w:val="20"/>
                <w:szCs w:val="20"/>
              </w:rPr>
            </w:pPr>
            <w:r>
              <w:rPr>
                <w:rStyle w:val="8"/>
                <w:rFonts w:hint="eastAsia" w:ascii="宋体" w:hAnsi="宋体" w:eastAsia="宋体" w:cs="宋体"/>
                <w:color w:val="000000"/>
                <w:kern w:val="2"/>
                <w:sz w:val="20"/>
                <w:szCs w:val="20"/>
                <w:lang w:val="en-US" w:eastAsia="zh-CN" w:bidi="ar"/>
              </w:rPr>
              <w:t>地方资金</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874"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center"/>
              <w:rPr>
                <w:rFonts w:hint="eastAsia" w:ascii="宋体" w:hAnsi="宋体" w:eastAsia="宋体" w:cs="宋体"/>
                <w:i w:val="0"/>
                <w:color w:val="000000"/>
                <w:kern w:val="2"/>
                <w:sz w:val="20"/>
                <w:szCs w:val="20"/>
              </w:rPr>
            </w:pPr>
            <w:r>
              <w:rPr>
                <w:rStyle w:val="8"/>
                <w:rFonts w:hint="eastAsia" w:ascii="宋体" w:hAnsi="宋体" w:eastAsia="宋体" w:cs="宋体"/>
                <w:color w:val="000000"/>
                <w:kern w:val="2"/>
                <w:sz w:val="20"/>
                <w:szCs w:val="20"/>
                <w:lang w:val="en-US" w:eastAsia="zh-CN" w:bidi="ar"/>
              </w:rPr>
              <w:t>其他资金</w:t>
            </w:r>
            <w:r>
              <w:rPr>
                <w:rStyle w:val="9"/>
                <w:rFonts w:hint="eastAsia" w:ascii="宋体" w:hAnsi="宋体" w:eastAsia="宋体" w:cs="宋体"/>
                <w:color w:val="000000"/>
                <w:kern w:val="2"/>
                <w:sz w:val="20"/>
                <w:szCs w:val="20"/>
                <w:lang w:val="en-US" w:eastAsia="zh-CN" w:bidi="ar"/>
              </w:rPr>
              <w:t>（包括结转结余）</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0</w:t>
            </w:r>
          </w:p>
        </w:tc>
        <w:tc>
          <w:tcPr>
            <w:tcW w:w="157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c>
          <w:tcPr>
            <w:tcW w:w="2680"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024"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年度总体目标</w:t>
            </w:r>
          </w:p>
        </w:tc>
        <w:tc>
          <w:tcPr>
            <w:tcW w:w="435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年初设定目标</w:t>
            </w:r>
          </w:p>
        </w:tc>
        <w:tc>
          <w:tcPr>
            <w:tcW w:w="4255"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4358"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支持1个危重孕产妇救治中心</w:t>
            </w:r>
            <w:r>
              <w:rPr>
                <w:rFonts w:hint="eastAsia" w:ascii="宋体" w:hAnsi="宋体" w:cs="宋体"/>
                <w:i w:val="0"/>
                <w:color w:val="000000"/>
                <w:kern w:val="2"/>
                <w:sz w:val="20"/>
                <w:szCs w:val="20"/>
                <w:lang w:eastAsia="zh-CN"/>
              </w:rPr>
              <w:t>、</w:t>
            </w:r>
            <w:r>
              <w:rPr>
                <w:rFonts w:hint="eastAsia" w:ascii="宋体" w:hAnsi="宋体" w:eastAsia="宋体" w:cs="宋体"/>
                <w:i w:val="0"/>
                <w:color w:val="000000"/>
                <w:kern w:val="2"/>
                <w:sz w:val="20"/>
                <w:szCs w:val="20"/>
              </w:rPr>
              <w:t>1个危重新生儿救治中心</w:t>
            </w:r>
            <w:r>
              <w:rPr>
                <w:rFonts w:hint="eastAsia" w:ascii="宋体" w:hAnsi="宋体" w:cs="宋体"/>
                <w:i w:val="0"/>
                <w:color w:val="000000"/>
                <w:kern w:val="2"/>
                <w:sz w:val="20"/>
                <w:szCs w:val="20"/>
                <w:lang w:eastAsia="zh-CN"/>
              </w:rPr>
              <w:t>和1个产前诊断机构能力建设，</w:t>
            </w:r>
            <w:r>
              <w:rPr>
                <w:rFonts w:hint="eastAsia" w:ascii="宋体" w:hAnsi="宋体" w:eastAsia="宋体" w:cs="宋体"/>
                <w:i w:val="0"/>
                <w:color w:val="000000"/>
                <w:kern w:val="2"/>
                <w:sz w:val="20"/>
                <w:szCs w:val="20"/>
              </w:rPr>
              <w:t>提升辖区危重孕产妇救治能力，新生儿疾病诊断、治疗能力，产前筛查和产前诊断服务能力，</w:t>
            </w:r>
            <w:r>
              <w:rPr>
                <w:rFonts w:hint="eastAsia" w:ascii="宋体" w:hAnsi="宋体" w:cs="宋体"/>
                <w:i w:val="0"/>
                <w:color w:val="000000"/>
                <w:kern w:val="2"/>
                <w:sz w:val="20"/>
                <w:szCs w:val="20"/>
                <w:lang w:eastAsia="zh-CN"/>
              </w:rPr>
              <w:t>切实</w:t>
            </w:r>
            <w:r>
              <w:rPr>
                <w:rFonts w:hint="eastAsia" w:ascii="宋体" w:hAnsi="宋体" w:eastAsia="宋体" w:cs="宋体"/>
                <w:i w:val="0"/>
                <w:color w:val="000000"/>
                <w:kern w:val="2"/>
                <w:sz w:val="20"/>
                <w:szCs w:val="20"/>
              </w:rPr>
              <w:t>降低孕产妇死亡率</w:t>
            </w:r>
            <w:r>
              <w:rPr>
                <w:rFonts w:hint="eastAsia" w:ascii="宋体" w:hAnsi="宋体" w:cs="宋体"/>
                <w:i w:val="0"/>
                <w:color w:val="000000"/>
                <w:kern w:val="2"/>
                <w:sz w:val="20"/>
                <w:szCs w:val="20"/>
                <w:lang w:eastAsia="zh-CN"/>
              </w:rPr>
              <w:t>、</w:t>
            </w:r>
            <w:r>
              <w:rPr>
                <w:rFonts w:hint="eastAsia" w:ascii="宋体" w:hAnsi="宋体" w:eastAsia="宋体" w:cs="宋体"/>
                <w:i w:val="0"/>
                <w:color w:val="000000"/>
                <w:kern w:val="2"/>
                <w:sz w:val="20"/>
                <w:szCs w:val="20"/>
              </w:rPr>
              <w:t>婴儿死亡率</w:t>
            </w:r>
            <w:r>
              <w:rPr>
                <w:rFonts w:hint="eastAsia" w:ascii="宋体" w:hAnsi="宋体" w:cs="宋体"/>
                <w:i w:val="0"/>
                <w:color w:val="000000"/>
                <w:kern w:val="2"/>
                <w:sz w:val="20"/>
                <w:szCs w:val="20"/>
                <w:lang w:eastAsia="zh-CN"/>
              </w:rPr>
              <w:t>和</w:t>
            </w:r>
            <w:r>
              <w:rPr>
                <w:rFonts w:hint="eastAsia" w:ascii="宋体" w:hAnsi="宋体" w:eastAsia="宋体" w:cs="宋体"/>
                <w:i w:val="0"/>
                <w:color w:val="000000"/>
                <w:kern w:val="2"/>
                <w:sz w:val="20"/>
                <w:szCs w:val="20"/>
              </w:rPr>
              <w:t>出生缺陷发生率，提高出生人口素质。</w:t>
            </w:r>
          </w:p>
        </w:tc>
        <w:tc>
          <w:tcPr>
            <w:tcW w:w="425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00" w:firstLineChars="200"/>
              <w:jc w:val="both"/>
              <w:textAlignment w:val="auto"/>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已</w:t>
            </w:r>
            <w:r>
              <w:rPr>
                <w:rFonts w:hint="eastAsia" w:ascii="宋体" w:hAnsi="宋体" w:cs="宋体"/>
                <w:i w:val="0"/>
                <w:color w:val="000000"/>
                <w:kern w:val="2"/>
                <w:sz w:val="20"/>
                <w:szCs w:val="20"/>
                <w:lang w:eastAsia="zh-CN"/>
              </w:rPr>
              <w:t>支持</w:t>
            </w:r>
            <w:r>
              <w:rPr>
                <w:rFonts w:hint="eastAsia" w:ascii="宋体" w:hAnsi="宋体" w:eastAsia="宋体" w:cs="宋体"/>
                <w:i w:val="0"/>
                <w:color w:val="000000"/>
                <w:kern w:val="2"/>
                <w:sz w:val="20"/>
                <w:szCs w:val="20"/>
              </w:rPr>
              <w:t>1个危重孕产妇救治中心，1个危重新生儿救治中心、1个产前诊断机构</w:t>
            </w:r>
            <w:r>
              <w:rPr>
                <w:rFonts w:hint="eastAsia" w:ascii="宋体" w:hAnsi="宋体" w:cs="宋体"/>
                <w:i w:val="0"/>
                <w:color w:val="000000"/>
                <w:kern w:val="2"/>
                <w:sz w:val="20"/>
                <w:szCs w:val="20"/>
                <w:lang w:eastAsia="zh-CN"/>
              </w:rPr>
              <w:t>建设</w:t>
            </w:r>
            <w:r>
              <w:rPr>
                <w:rFonts w:hint="eastAsia" w:ascii="宋体" w:hAnsi="宋体" w:eastAsia="宋体" w:cs="宋体"/>
                <w:i w:val="0"/>
                <w:color w:val="000000"/>
                <w:kern w:val="2"/>
                <w:sz w:val="20"/>
                <w:szCs w:val="20"/>
              </w:rPr>
              <w:t>。2024年</w:t>
            </w:r>
            <w:r>
              <w:rPr>
                <w:rFonts w:hint="eastAsia" w:ascii="宋体" w:hAnsi="宋体" w:cs="宋体"/>
                <w:i w:val="0"/>
                <w:color w:val="000000"/>
                <w:kern w:val="2"/>
                <w:sz w:val="20"/>
                <w:szCs w:val="20"/>
                <w:lang w:eastAsia="zh-CN"/>
              </w:rPr>
              <w:t>全区</w:t>
            </w:r>
            <w:r>
              <w:rPr>
                <w:rFonts w:hint="eastAsia" w:ascii="宋体" w:hAnsi="宋体" w:eastAsia="宋体" w:cs="宋体"/>
                <w:i w:val="0"/>
                <w:color w:val="000000"/>
                <w:kern w:val="2"/>
                <w:sz w:val="20"/>
                <w:szCs w:val="20"/>
              </w:rPr>
              <w:t>孕产妇死亡率5.7</w:t>
            </w:r>
            <w:r>
              <w:rPr>
                <w:rFonts w:hint="default" w:ascii="宋体" w:hAnsi="宋体" w:cs="宋体"/>
                <w:i w:val="0"/>
                <w:color w:val="000000"/>
                <w:kern w:val="2"/>
                <w:sz w:val="20"/>
                <w:szCs w:val="20"/>
                <w:lang w:val="en-US"/>
              </w:rPr>
              <w:t>4</w:t>
            </w:r>
            <w:r>
              <w:rPr>
                <w:rFonts w:hint="eastAsia" w:ascii="宋体" w:hAnsi="宋体" w:eastAsia="宋体" w:cs="宋体"/>
                <w:i w:val="0"/>
                <w:color w:val="000000"/>
                <w:kern w:val="2"/>
                <w:sz w:val="20"/>
                <w:szCs w:val="20"/>
              </w:rPr>
              <w:t>/10万，婴儿死亡率2.</w:t>
            </w:r>
            <w:r>
              <w:rPr>
                <w:rFonts w:hint="default" w:ascii="宋体" w:hAnsi="宋体" w:cs="宋体"/>
                <w:i w:val="0"/>
                <w:color w:val="000000"/>
                <w:kern w:val="2"/>
                <w:sz w:val="20"/>
                <w:szCs w:val="20"/>
                <w:lang w:val="en-US"/>
              </w:rPr>
              <w:t>28</w:t>
            </w:r>
            <w:r>
              <w:rPr>
                <w:rFonts w:hint="eastAsia" w:ascii="宋体" w:hAnsi="宋体" w:eastAsia="宋体" w:cs="宋体"/>
                <w:i w:val="0"/>
                <w:color w:val="000000"/>
                <w:kern w:val="2"/>
                <w:sz w:val="20"/>
                <w:szCs w:val="20"/>
              </w:rPr>
              <w:t>‰，</w:t>
            </w:r>
            <w:r>
              <w:rPr>
                <w:rFonts w:hint="eastAsia" w:ascii="宋体" w:hAnsi="宋体" w:cs="宋体"/>
                <w:i w:val="0"/>
                <w:color w:val="000000"/>
                <w:kern w:val="2"/>
                <w:sz w:val="20"/>
                <w:szCs w:val="20"/>
                <w:lang w:eastAsia="zh-CN"/>
              </w:rPr>
              <w:t>达到宁夏历史最低水平。</w:t>
            </w:r>
            <w:r>
              <w:rPr>
                <w:rFonts w:hint="eastAsia" w:ascii="宋体" w:hAnsi="宋体" w:eastAsia="宋体" w:cs="宋体"/>
                <w:i w:val="0"/>
                <w:color w:val="000000"/>
                <w:kern w:val="2"/>
                <w:sz w:val="20"/>
                <w:szCs w:val="20"/>
              </w:rPr>
              <w:t>产前筛查率88.5%，较2023年85.2%增长3.3个百分点。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2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绩效指标</w:t>
            </w:r>
          </w:p>
        </w:tc>
        <w:tc>
          <w:tcPr>
            <w:tcW w:w="8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一级</w:t>
            </w:r>
            <w:r>
              <w:rPr>
                <w:rFonts w:hint="eastAsia" w:ascii="宋体" w:hAnsi="宋体" w:eastAsia="宋体" w:cs="宋体"/>
                <w:i w:val="0"/>
                <w:color w:val="000000"/>
                <w:kern w:val="0"/>
                <w:sz w:val="20"/>
                <w:szCs w:val="20"/>
                <w:lang w:val="en-US" w:eastAsia="zh-CN" w:bidi="ar"/>
              </w:rPr>
              <w:br w:type="textWrapping"/>
            </w:r>
            <w:r>
              <w:rPr>
                <w:rFonts w:hint="eastAsia" w:ascii="宋体" w:hAnsi="宋体" w:eastAsia="宋体" w:cs="宋体"/>
                <w:i w:val="0"/>
                <w:color w:val="000000"/>
                <w:kern w:val="0"/>
                <w:sz w:val="20"/>
                <w:szCs w:val="20"/>
                <w:lang w:val="en-US" w:eastAsia="zh-CN" w:bidi="ar"/>
              </w:rPr>
              <w:t>指标</w:t>
            </w:r>
          </w:p>
        </w:tc>
        <w:tc>
          <w:tcPr>
            <w:tcW w:w="16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二级指标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三级指标</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年度指标值</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全年完成值</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850"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产</w:t>
            </w:r>
            <w:r>
              <w:rPr>
                <w:rFonts w:hint="eastAsia" w:ascii="宋体" w:hAnsi="宋体" w:eastAsia="宋体" w:cs="宋体"/>
                <w:i w:val="0"/>
                <w:color w:val="000000"/>
                <w:kern w:val="0"/>
                <w:sz w:val="20"/>
                <w:szCs w:val="20"/>
                <w:lang w:val="en-US" w:eastAsia="zh-CN" w:bidi="ar"/>
              </w:rPr>
              <w:br w:type="textWrapping"/>
            </w:r>
            <w:r>
              <w:rPr>
                <w:rFonts w:hint="eastAsia" w:ascii="宋体" w:hAnsi="宋体" w:eastAsia="宋体" w:cs="宋体"/>
                <w:i w:val="0"/>
                <w:color w:val="000000"/>
                <w:kern w:val="0"/>
                <w:sz w:val="20"/>
                <w:szCs w:val="20"/>
                <w:lang w:val="en-US" w:eastAsia="zh-CN" w:bidi="ar"/>
              </w:rPr>
              <w:t>出</w:t>
            </w:r>
            <w:r>
              <w:rPr>
                <w:rFonts w:hint="eastAsia" w:ascii="宋体" w:hAnsi="宋体" w:eastAsia="宋体" w:cs="宋体"/>
                <w:i w:val="0"/>
                <w:color w:val="000000"/>
                <w:kern w:val="0"/>
                <w:sz w:val="20"/>
                <w:szCs w:val="20"/>
                <w:lang w:val="en-US" w:eastAsia="zh-CN" w:bidi="ar"/>
              </w:rPr>
              <w:br w:type="textWrapping"/>
            </w:r>
            <w:r>
              <w:rPr>
                <w:rFonts w:hint="eastAsia" w:ascii="宋体" w:hAnsi="宋体" w:eastAsia="宋体" w:cs="宋体"/>
                <w:i w:val="0"/>
                <w:color w:val="000000"/>
                <w:kern w:val="0"/>
                <w:sz w:val="20"/>
                <w:szCs w:val="20"/>
                <w:lang w:val="en-US" w:eastAsia="zh-CN" w:bidi="ar"/>
              </w:rPr>
              <w:t>指</w:t>
            </w:r>
            <w:r>
              <w:rPr>
                <w:rFonts w:hint="eastAsia" w:ascii="宋体" w:hAnsi="宋体" w:eastAsia="宋体" w:cs="宋体"/>
                <w:i w:val="0"/>
                <w:color w:val="000000"/>
                <w:kern w:val="0"/>
                <w:sz w:val="20"/>
                <w:szCs w:val="20"/>
                <w:lang w:val="en-US" w:eastAsia="zh-CN" w:bidi="ar"/>
              </w:rPr>
              <w:br w:type="textWrapping"/>
            </w:r>
            <w:r>
              <w:rPr>
                <w:rFonts w:hint="eastAsia" w:ascii="宋体" w:hAnsi="宋体" w:eastAsia="宋体" w:cs="宋体"/>
                <w:i w:val="0"/>
                <w:color w:val="000000"/>
                <w:kern w:val="0"/>
                <w:sz w:val="20"/>
                <w:szCs w:val="20"/>
                <w:lang w:val="en-US" w:eastAsia="zh-CN" w:bidi="ar"/>
              </w:rPr>
              <w:t>标</w:t>
            </w:r>
          </w:p>
        </w:tc>
        <w:tc>
          <w:tcPr>
            <w:tcW w:w="16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数量指标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支持危重孕产妇救治中心数量</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支持危重新生儿救治中心数量</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支持产前诊断机构数量</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cs="宋体"/>
                <w:i w:val="0"/>
                <w:color w:val="000000"/>
                <w:kern w:val="2"/>
                <w:sz w:val="20"/>
                <w:szCs w:val="20"/>
                <w:lang w:val="en-US" w:eastAsia="zh-CN"/>
              </w:rPr>
              <w:t>1个</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质量指标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孕产妇死亡率</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较上一年下降或≤10/10万</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5.7</w:t>
            </w:r>
            <w:r>
              <w:rPr>
                <w:rFonts w:hint="default" w:ascii="宋体" w:hAnsi="宋体" w:cs="宋体"/>
                <w:i w:val="0"/>
                <w:color w:val="000000"/>
                <w:kern w:val="2"/>
                <w:sz w:val="20"/>
                <w:szCs w:val="20"/>
                <w:lang w:val="en-US"/>
              </w:rPr>
              <w:t>4</w:t>
            </w:r>
            <w:r>
              <w:rPr>
                <w:rFonts w:hint="eastAsia" w:ascii="宋体" w:hAnsi="宋体" w:eastAsia="宋体" w:cs="宋体"/>
                <w:i w:val="0"/>
                <w:color w:val="000000"/>
                <w:kern w:val="2"/>
                <w:sz w:val="20"/>
                <w:szCs w:val="20"/>
              </w:rPr>
              <w:t>/10万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婴儿死亡率</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较上一年下降或≤2.5‰</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宋体" w:hAnsi="宋体" w:eastAsia="宋体" w:cs="宋体"/>
                <w:i w:val="0"/>
                <w:color w:val="000000"/>
                <w:kern w:val="2"/>
                <w:sz w:val="20"/>
                <w:szCs w:val="20"/>
                <w:lang w:val="en-US"/>
              </w:rPr>
            </w:pPr>
            <w:r>
              <w:rPr>
                <w:rFonts w:hint="eastAsia" w:ascii="宋体" w:hAnsi="宋体" w:eastAsia="宋体" w:cs="宋体"/>
                <w:i w:val="0"/>
                <w:color w:val="000000"/>
                <w:kern w:val="2"/>
                <w:sz w:val="20"/>
                <w:szCs w:val="20"/>
              </w:rPr>
              <w:t>2.</w:t>
            </w:r>
            <w:r>
              <w:rPr>
                <w:rFonts w:hint="default" w:ascii="宋体" w:hAnsi="宋体" w:cs="宋体"/>
                <w:i w:val="0"/>
                <w:color w:val="000000"/>
                <w:kern w:val="2"/>
                <w:sz w:val="20"/>
                <w:szCs w:val="20"/>
                <w:lang w:val="en-US"/>
              </w:rPr>
              <w:t>28</w:t>
            </w:r>
            <w:r>
              <w:rPr>
                <w:rFonts w:hint="eastAsia" w:ascii="宋体" w:hAnsi="宋体" w:eastAsia="宋体" w:cs="宋体"/>
                <w:i w:val="0"/>
                <w:color w:val="000000"/>
                <w:kern w:val="0"/>
                <w:sz w:val="20"/>
                <w:szCs w:val="20"/>
                <w:lang w:val="en-US" w:eastAsia="zh-CN" w:bidi="ar"/>
              </w:rPr>
              <w:t>‰</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产前筛查率</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较上一年提升</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宋体" w:hAnsi="宋体" w:eastAsia="宋体" w:cs="宋体"/>
                <w:i w:val="0"/>
                <w:color w:val="000000"/>
                <w:kern w:val="2"/>
                <w:sz w:val="20"/>
                <w:szCs w:val="20"/>
                <w:lang w:val="en-US" w:eastAsia="zh-CN"/>
              </w:rPr>
            </w:pPr>
            <w:r>
              <w:rPr>
                <w:rFonts w:hint="eastAsia" w:ascii="宋体" w:hAnsi="宋体" w:eastAsia="宋体" w:cs="宋体"/>
                <w:i w:val="0"/>
                <w:color w:val="000000"/>
                <w:kern w:val="2"/>
                <w:sz w:val="20"/>
                <w:szCs w:val="20"/>
              </w:rPr>
              <w:t>较上一年提升</w:t>
            </w:r>
            <w:r>
              <w:rPr>
                <w:rFonts w:hint="eastAsia" w:ascii="宋体" w:hAnsi="宋体" w:cs="宋体"/>
                <w:i w:val="0"/>
                <w:color w:val="000000"/>
                <w:kern w:val="2"/>
                <w:sz w:val="20"/>
                <w:szCs w:val="20"/>
                <w:lang w:val="en-US" w:eastAsia="zh-CN"/>
              </w:rPr>
              <w:t>3.3个百分点</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restart"/>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社会效益指标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母婴安全保障水平</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得到提升</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得到提升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出生缺陷发生率</w:t>
            </w:r>
          </w:p>
        </w:tc>
        <w:tc>
          <w:tcPr>
            <w:tcW w:w="1426" w:type="dxa"/>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逐步降低</w:t>
            </w:r>
          </w:p>
        </w:tc>
        <w:tc>
          <w:tcPr>
            <w:tcW w:w="14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cs="宋体"/>
                <w:i w:val="0"/>
                <w:color w:val="000000"/>
                <w:kern w:val="0"/>
                <w:sz w:val="20"/>
                <w:szCs w:val="20"/>
                <w:lang w:val="en-US" w:eastAsia="zh-CN" w:bidi="ar"/>
              </w:rPr>
            </w:pPr>
            <w:r>
              <w:rPr>
                <w:rFonts w:hint="eastAsia" w:ascii="宋体" w:hAnsi="宋体" w:cs="宋体"/>
                <w:i w:val="0"/>
                <w:color w:val="000000"/>
                <w:kern w:val="0"/>
                <w:sz w:val="20"/>
                <w:szCs w:val="20"/>
                <w:lang w:val="en-US" w:eastAsia="zh-CN" w:bidi="ar"/>
              </w:rPr>
              <w:t>3.01/万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宋体" w:hAnsi="宋体" w:eastAsia="宋体" w:cs="宋体"/>
                <w:i w:val="0"/>
                <w:color w:val="000000"/>
                <w:kern w:val="2"/>
                <w:sz w:val="20"/>
                <w:szCs w:val="20"/>
                <w:lang w:val="en-US"/>
              </w:rPr>
            </w:pPr>
            <w:r>
              <w:rPr>
                <w:rFonts w:hint="eastAsia" w:ascii="宋体" w:hAnsi="宋体" w:cs="宋体"/>
                <w:i w:val="0"/>
                <w:color w:val="000000"/>
                <w:kern w:val="0"/>
                <w:sz w:val="20"/>
                <w:szCs w:val="20"/>
                <w:lang w:val="en-US" w:eastAsia="zh-CN" w:bidi="ar"/>
              </w:rPr>
              <w:t>较上一年降低 4.20 个万分点</w:t>
            </w:r>
          </w:p>
        </w:tc>
        <w:tc>
          <w:tcPr>
            <w:tcW w:w="1412" w:type="dxa"/>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妇女儿童医疗负担</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逐步降低</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逐步降低</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restart"/>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可持续影响指标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危重孕产妇</w:t>
            </w:r>
            <w:r>
              <w:rPr>
                <w:rFonts w:hint="eastAsia" w:ascii="宋体" w:hAnsi="宋体" w:cs="宋体"/>
                <w:i w:val="0"/>
                <w:color w:val="000000"/>
                <w:kern w:val="0"/>
                <w:sz w:val="20"/>
                <w:szCs w:val="20"/>
                <w:lang w:val="en-US" w:eastAsia="zh-CN" w:bidi="ar"/>
              </w:rPr>
              <w:t>和新生儿诊断</w:t>
            </w:r>
            <w:r>
              <w:rPr>
                <w:rFonts w:hint="eastAsia" w:ascii="宋体" w:hAnsi="宋体" w:eastAsia="宋体" w:cs="宋体"/>
                <w:i w:val="0"/>
                <w:color w:val="000000"/>
                <w:kern w:val="0"/>
                <w:sz w:val="20"/>
                <w:szCs w:val="20"/>
                <w:lang w:val="en-US" w:eastAsia="zh-CN" w:bidi="ar"/>
              </w:rPr>
              <w:t>救治能力提升项目单位相关科室DRG组数</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较上一年提升</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较上一年提升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rPr>
              <w:t>危重孕产妇和新生儿诊断救治能力提升项目单位相关科室病例组合指数(CMI)</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较上一年提升</w:t>
            </w:r>
          </w:p>
        </w:tc>
        <w:tc>
          <w:tcPr>
            <w:tcW w:w="1417"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较上一年提升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663" w:type="dxa"/>
            <w:vMerge w:val="continue"/>
            <w:tcBorders>
              <w:top w:val="nil"/>
              <w:left w:val="nil"/>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2"/>
                <w:sz w:val="20"/>
                <w:szCs w:val="20"/>
                <w:lang w:val="en-US" w:eastAsia="zh-CN"/>
              </w:rPr>
              <w:t>产后出血防治、新生儿复苏、产前诊断等适宜技术推广应用和相关科研课题立项</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逐步提升</w:t>
            </w:r>
          </w:p>
        </w:tc>
        <w:tc>
          <w:tcPr>
            <w:tcW w:w="14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rPr>
                <w:rFonts w:hint="eastAsia" w:ascii="宋体" w:hAnsi="宋体" w:eastAsia="宋体" w:cs="宋体"/>
                <w:i w:val="0"/>
                <w:color w:val="000000"/>
                <w:kern w:val="0"/>
                <w:sz w:val="20"/>
                <w:szCs w:val="20"/>
                <w:lang w:val="en-US" w:eastAsia="zh-CN" w:bidi="ar"/>
              </w:rPr>
            </w:pPr>
            <w:r>
              <w:rPr>
                <w:rFonts w:hint="eastAsia" w:ascii="宋体" w:hAnsi="宋体" w:eastAsia="宋体" w:cs="宋体"/>
                <w:i w:val="0"/>
                <w:color w:val="000000"/>
                <w:kern w:val="0"/>
                <w:sz w:val="20"/>
                <w:szCs w:val="20"/>
                <w:lang w:val="en-US" w:eastAsia="zh-CN" w:bidi="ar"/>
              </w:rPr>
              <w:t>逐步提升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024" w:type="dxa"/>
            <w:vMerge w:val="continue"/>
            <w:tcBorders>
              <w:top w:val="nil"/>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0"/>
                <w:szCs w:val="20"/>
              </w:rPr>
            </w:pPr>
          </w:p>
        </w:tc>
        <w:tc>
          <w:tcPr>
            <w:tcW w:w="85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满意度指标</w:t>
            </w:r>
          </w:p>
        </w:tc>
        <w:tc>
          <w:tcPr>
            <w:tcW w:w="1663"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服务对象满意度指标</w:t>
            </w:r>
          </w:p>
        </w:tc>
        <w:tc>
          <w:tcPr>
            <w:tcW w:w="184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eastAsia" w:ascii="宋体" w:hAnsi="宋体" w:eastAsia="宋体" w:cs="宋体"/>
                <w:i w:val="0"/>
                <w:color w:val="000000"/>
                <w:kern w:val="2"/>
                <w:sz w:val="20"/>
                <w:szCs w:val="20"/>
                <w:lang w:val="en-US" w:eastAsia="zh-CN"/>
              </w:rPr>
            </w:pPr>
            <w:r>
              <w:rPr>
                <w:rFonts w:hint="eastAsia" w:ascii="宋体" w:hAnsi="宋体" w:eastAsia="宋体" w:cs="宋体"/>
                <w:i w:val="0"/>
                <w:color w:val="000000"/>
                <w:kern w:val="2"/>
                <w:sz w:val="20"/>
                <w:szCs w:val="20"/>
                <w:lang w:val="en-US" w:eastAsia="zh-CN"/>
              </w:rPr>
              <w:t>服务对象满意度</w:t>
            </w:r>
          </w:p>
        </w:tc>
        <w:tc>
          <w:tcPr>
            <w:tcW w:w="14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rPr>
                <w:rFonts w:hint="eastAsia" w:ascii="宋体" w:hAnsi="宋体" w:eastAsia="宋体" w:cs="宋体"/>
                <w:i w:val="0"/>
                <w:color w:val="000000"/>
                <w:kern w:val="2"/>
                <w:sz w:val="20"/>
                <w:szCs w:val="20"/>
                <w:lang w:val="en-US" w:eastAsia="zh-CN"/>
              </w:rPr>
            </w:pPr>
            <w:r>
              <w:rPr>
                <w:rFonts w:hint="eastAsia" w:ascii="宋体" w:hAnsi="宋体" w:eastAsia="宋体" w:cs="宋体"/>
                <w:i w:val="0"/>
                <w:color w:val="000000"/>
                <w:kern w:val="2"/>
                <w:sz w:val="20"/>
                <w:szCs w:val="20"/>
                <w:lang w:val="en-US" w:eastAsia="zh-CN"/>
              </w:rPr>
              <w:t>较上一年提升</w:t>
            </w:r>
          </w:p>
        </w:tc>
        <w:tc>
          <w:tcPr>
            <w:tcW w:w="14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center"/>
              <w:rPr>
                <w:rFonts w:hint="eastAsia" w:ascii="宋体" w:hAnsi="宋体" w:eastAsia="宋体" w:cs="宋体"/>
                <w:i w:val="0"/>
                <w:color w:val="000000"/>
                <w:kern w:val="2"/>
                <w:sz w:val="20"/>
                <w:szCs w:val="20"/>
                <w:lang w:val="en-US" w:eastAsia="zh-CN" w:bidi="ar-SA"/>
              </w:rPr>
            </w:pPr>
            <w:r>
              <w:rPr>
                <w:rFonts w:hint="eastAsia" w:ascii="宋体" w:hAnsi="宋体" w:eastAsia="宋体" w:cs="宋体"/>
                <w:i w:val="0"/>
                <w:color w:val="000000"/>
                <w:kern w:val="2"/>
                <w:sz w:val="20"/>
                <w:szCs w:val="20"/>
                <w:lang w:val="en-US" w:eastAsia="zh-CN"/>
              </w:rPr>
              <w:t>较上一年提升</w:t>
            </w:r>
          </w:p>
        </w:tc>
        <w:tc>
          <w:tcPr>
            <w:tcW w:w="1412"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color w:val="000000"/>
                <w:kern w:val="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0"/>
                <w:szCs w:val="20"/>
              </w:rPr>
            </w:pPr>
            <w:r>
              <w:rPr>
                <w:rFonts w:hint="eastAsia" w:ascii="宋体" w:hAnsi="宋体" w:eastAsia="宋体" w:cs="宋体"/>
                <w:i w:val="0"/>
                <w:color w:val="000000"/>
                <w:kern w:val="0"/>
                <w:sz w:val="20"/>
                <w:szCs w:val="20"/>
                <w:lang w:val="en-US" w:eastAsia="zh-CN" w:bidi="ar"/>
              </w:rPr>
              <w:t>说明</w:t>
            </w:r>
          </w:p>
        </w:tc>
        <w:tc>
          <w:tcPr>
            <w:tcW w:w="8613" w:type="dxa"/>
            <w:gridSpan w:val="7"/>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color w:val="000000"/>
                <w:kern w:val="2"/>
                <w:sz w:val="20"/>
                <w:szCs w:val="20"/>
                <w:lang w:eastAsia="zh-CN"/>
              </w:rPr>
            </w:pPr>
            <w:r>
              <w:rPr>
                <w:rFonts w:hint="eastAsia" w:ascii="宋体" w:hAnsi="宋体" w:cs="宋体"/>
                <w:i w:val="0"/>
                <w:color w:val="000000"/>
                <w:kern w:val="2"/>
                <w:sz w:val="20"/>
                <w:szCs w:val="20"/>
                <w:lang w:eastAsia="zh-CN"/>
              </w:rPr>
              <w:t>无。</w:t>
            </w:r>
          </w:p>
        </w:tc>
      </w:tr>
    </w:tbl>
    <w:p>
      <w:pPr>
        <w:keepNext w:val="0"/>
        <w:keepLines w:val="0"/>
        <w:widowControl/>
        <w:suppressLineNumbers w:val="0"/>
        <w:autoSpaceDE w:val="0"/>
        <w:autoSpaceDN w:val="0"/>
        <w:adjustRightInd w:val="0"/>
        <w:snapToGrid w:val="0"/>
        <w:spacing w:before="157" w:beforeLines="50" w:beforeAutospacing="0" w:after="0" w:afterAutospacing="0"/>
        <w:ind w:left="0" w:right="0"/>
        <w:jc w:val="both"/>
        <w:textAlignment w:val="baseline"/>
        <w:rPr>
          <w:rFonts w:hint="eastAsia" w:ascii="黑体" w:hAnsi="宋体" w:eastAsia="黑体" w:cs="黑体"/>
          <w:color w:val="000000"/>
          <w:spacing w:val="3"/>
          <w:kern w:val="0"/>
          <w:sz w:val="32"/>
          <w:szCs w:val="32"/>
          <w:vertAlign w:val="baseline"/>
        </w:rPr>
      </w:pPr>
      <w:r>
        <w:rPr>
          <w:rFonts w:hint="eastAsia" w:ascii="黑体" w:hAnsi="宋体" w:eastAsia="黑体" w:cs="黑体"/>
          <w:color w:val="000000"/>
          <w:spacing w:val="3"/>
          <w:kern w:val="0"/>
          <w:sz w:val="32"/>
          <w:szCs w:val="32"/>
          <w:vertAlign w:val="baseline"/>
          <w:lang w:val="en-US" w:eastAsia="zh-CN" w:bidi="ar"/>
        </w:rPr>
        <w:t xml:space="preserve"> </w:t>
      </w:r>
    </w:p>
    <w:p>
      <w:pPr>
        <w:keepNext w:val="0"/>
        <w:keepLines w:val="0"/>
        <w:widowControl/>
        <w:suppressLineNumbers w:val="0"/>
        <w:autoSpaceDE w:val="0"/>
        <w:autoSpaceDN w:val="0"/>
        <w:adjustRightInd w:val="0"/>
        <w:snapToGrid w:val="0"/>
        <w:spacing w:before="157" w:beforeLines="50" w:beforeAutospacing="0" w:after="0" w:afterAutospacing="0"/>
        <w:ind w:left="0" w:right="0"/>
        <w:jc w:val="both"/>
        <w:textAlignment w:val="baseline"/>
      </w:pPr>
      <w:r>
        <w:rPr>
          <w:rFonts w:hint="eastAsia" w:ascii="黑体" w:hAnsi="宋体" w:eastAsia="黑体" w:cs="黑体"/>
          <w:color w:val="000000"/>
          <w:spacing w:val="3"/>
          <w:kern w:val="0"/>
          <w:sz w:val="32"/>
          <w:szCs w:val="32"/>
          <w:vertAlign w:val="baseline"/>
          <w:lang w:val="en-US" w:eastAsia="zh-CN" w:bidi="ar"/>
        </w:rPr>
        <w:t xml:space="preserve"> </w:t>
      </w:r>
    </w:p>
    <w:sectPr>
      <w:headerReference r:id="rId4" w:type="first"/>
      <w:footerReference r:id="rId6" w:type="first"/>
      <w:headerReference r:id="rId3" w:type="default"/>
      <w:footerReference r:id="rId5" w:type="default"/>
      <w:pgSz w:w="11906" w:h="16838"/>
      <w:pgMar w:top="1440" w:right="1689" w:bottom="1440" w:left="1689" w:header="851" w:footer="992" w:gutter="0"/>
      <w:pgBorders>
        <w:top w:val="none" w:sz="0" w:space="0"/>
        <w:left w:val="none" w:sz="0" w:space="0"/>
        <w:bottom w:val="none" w:sz="0" w:space="0"/>
        <w:right w:val="none" w:sz="0" w:space="0"/>
      </w:pgBorders>
      <w:cols w:space="0" w:num="1"/>
      <w:titlePg/>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52"/>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val="0"/>
      <w:pBdr>
        <w:top w:val="none" w:color="auto" w:sz="0" w:space="1"/>
        <w:left w:val="none" w:color="auto" w:sz="0" w:space="4"/>
        <w:bottom w:val="none" w:color="auto" w:sz="0" w:space="1"/>
        <w:right w:val="none" w:color="auto" w:sz="0" w:space="4"/>
        <w:between w:val="none" w:color="auto" w:sz="0" w:space="0"/>
      </w:pBdr>
      <w:snapToGrid w:val="0"/>
      <w:jc w:val="both"/>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val="0"/>
      <w:pBdr>
        <w:top w:val="none" w:color="auto" w:sz="0" w:space="1"/>
        <w:left w:val="none" w:color="auto" w:sz="0" w:space="4"/>
        <w:bottom w:val="none" w:color="auto" w:sz="0" w:space="1"/>
        <w:right w:val="none" w:color="auto" w:sz="0" w:space="4"/>
        <w:between w:val="none" w:color="auto" w:sz="0" w:space="0"/>
      </w:pBdr>
      <w:snapToGrid w:val="0"/>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4567E"/>
    <w:rsid w:val="03215DBB"/>
    <w:rsid w:val="03722553"/>
    <w:rsid w:val="03800D34"/>
    <w:rsid w:val="04495CCF"/>
    <w:rsid w:val="06506FEB"/>
    <w:rsid w:val="06A42F8B"/>
    <w:rsid w:val="099C263F"/>
    <w:rsid w:val="0D9D0734"/>
    <w:rsid w:val="0FB104C7"/>
    <w:rsid w:val="11763776"/>
    <w:rsid w:val="13313DF9"/>
    <w:rsid w:val="14C55CE2"/>
    <w:rsid w:val="16826719"/>
    <w:rsid w:val="17B62B1E"/>
    <w:rsid w:val="18E216F1"/>
    <w:rsid w:val="19AE61A3"/>
    <w:rsid w:val="1CA05B4B"/>
    <w:rsid w:val="1CC950A2"/>
    <w:rsid w:val="1D9531D6"/>
    <w:rsid w:val="1DB7314C"/>
    <w:rsid w:val="1DEA3522"/>
    <w:rsid w:val="1FC14756"/>
    <w:rsid w:val="1FF24910"/>
    <w:rsid w:val="205E01F7"/>
    <w:rsid w:val="219263AA"/>
    <w:rsid w:val="21A460DD"/>
    <w:rsid w:val="2265586D"/>
    <w:rsid w:val="22737F8A"/>
    <w:rsid w:val="22BF31CF"/>
    <w:rsid w:val="23E40A13"/>
    <w:rsid w:val="264E03C6"/>
    <w:rsid w:val="26CC7C68"/>
    <w:rsid w:val="296323DA"/>
    <w:rsid w:val="2A233558"/>
    <w:rsid w:val="2A994305"/>
    <w:rsid w:val="2C477D91"/>
    <w:rsid w:val="2D532EE1"/>
    <w:rsid w:val="2DB15E0A"/>
    <w:rsid w:val="2DD85145"/>
    <w:rsid w:val="2FF41FDE"/>
    <w:rsid w:val="30550CCF"/>
    <w:rsid w:val="322A618B"/>
    <w:rsid w:val="32313075"/>
    <w:rsid w:val="32AE2918"/>
    <w:rsid w:val="35417A73"/>
    <w:rsid w:val="37906A90"/>
    <w:rsid w:val="37AD4D12"/>
    <w:rsid w:val="3E774506"/>
    <w:rsid w:val="3EAB0813"/>
    <w:rsid w:val="3F214472"/>
    <w:rsid w:val="409273D5"/>
    <w:rsid w:val="41C71300"/>
    <w:rsid w:val="41DB1250"/>
    <w:rsid w:val="41EE0CF5"/>
    <w:rsid w:val="431E31A2"/>
    <w:rsid w:val="455E1F7C"/>
    <w:rsid w:val="46366A55"/>
    <w:rsid w:val="46CC73B9"/>
    <w:rsid w:val="47451645"/>
    <w:rsid w:val="47F646ED"/>
    <w:rsid w:val="485F6737"/>
    <w:rsid w:val="493F3E72"/>
    <w:rsid w:val="4A01737A"/>
    <w:rsid w:val="4A8F2BD7"/>
    <w:rsid w:val="4AA607CC"/>
    <w:rsid w:val="4AD60806"/>
    <w:rsid w:val="4B1355B6"/>
    <w:rsid w:val="4B756271"/>
    <w:rsid w:val="4B775B45"/>
    <w:rsid w:val="4BEA4569"/>
    <w:rsid w:val="4C5639AD"/>
    <w:rsid w:val="4C912C37"/>
    <w:rsid w:val="4D0C6761"/>
    <w:rsid w:val="4E524648"/>
    <w:rsid w:val="4F55619D"/>
    <w:rsid w:val="4FB21842"/>
    <w:rsid w:val="4FCC4EEF"/>
    <w:rsid w:val="508807F5"/>
    <w:rsid w:val="51533462"/>
    <w:rsid w:val="51572FE7"/>
    <w:rsid w:val="51622DF4"/>
    <w:rsid w:val="51A74CAA"/>
    <w:rsid w:val="547A48F8"/>
    <w:rsid w:val="5483555B"/>
    <w:rsid w:val="56660C90"/>
    <w:rsid w:val="56717635"/>
    <w:rsid w:val="56EB73E7"/>
    <w:rsid w:val="586236D9"/>
    <w:rsid w:val="591B0458"/>
    <w:rsid w:val="592B61C1"/>
    <w:rsid w:val="59570D64"/>
    <w:rsid w:val="5B0867BA"/>
    <w:rsid w:val="5C0827EA"/>
    <w:rsid w:val="5C103962"/>
    <w:rsid w:val="5C7C6AEA"/>
    <w:rsid w:val="5CD821BC"/>
    <w:rsid w:val="5D186A5C"/>
    <w:rsid w:val="5E40270F"/>
    <w:rsid w:val="62C0797A"/>
    <w:rsid w:val="63F7204E"/>
    <w:rsid w:val="643949D6"/>
    <w:rsid w:val="64986E00"/>
    <w:rsid w:val="6747066A"/>
    <w:rsid w:val="6AAB53B4"/>
    <w:rsid w:val="6AC81AC2"/>
    <w:rsid w:val="6B480E55"/>
    <w:rsid w:val="6DDB7D5E"/>
    <w:rsid w:val="6FC767EC"/>
    <w:rsid w:val="710E3FA6"/>
    <w:rsid w:val="727662A7"/>
    <w:rsid w:val="72DA4A88"/>
    <w:rsid w:val="74493C73"/>
    <w:rsid w:val="7491561A"/>
    <w:rsid w:val="75476C20"/>
    <w:rsid w:val="75705230"/>
    <w:rsid w:val="77277B70"/>
    <w:rsid w:val="77862AE9"/>
    <w:rsid w:val="78B2790D"/>
    <w:rsid w:val="78E421BD"/>
    <w:rsid w:val="796230E1"/>
    <w:rsid w:val="7A4775A8"/>
    <w:rsid w:val="7A5C3FD5"/>
    <w:rsid w:val="7A7C6425"/>
    <w:rsid w:val="7B917CAE"/>
    <w:rsid w:val="7D4B180A"/>
    <w:rsid w:val="7E4234E1"/>
    <w:rsid w:val="7E81400A"/>
    <w:rsid w:val="7E8F4979"/>
    <w:rsid w:val="9DA75E30"/>
    <w:rsid w:val="ADFDC2A7"/>
    <w:rsid w:val="C7BB086C"/>
    <w:rsid w:val="F06EB114"/>
    <w:rsid w:val="FC7F71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4">
    <w:name w:val="Subtitle"/>
    <w:next w:val="1"/>
    <w:qFormat/>
    <w:uiPriority w:val="0"/>
    <w:pPr>
      <w:widowControl w:val="0"/>
      <w:spacing w:before="240" w:after="60" w:line="312" w:lineRule="auto"/>
      <w:jc w:val="both"/>
      <w:outlineLvl w:val="1"/>
    </w:pPr>
    <w:rPr>
      <w:rFonts w:ascii="Cambria" w:hAnsi="Cambria" w:eastAsia="楷体_GB2312" w:cs="Times New Roman"/>
      <w:b/>
      <w:bCs/>
      <w:kern w:val="28"/>
      <w:sz w:val="32"/>
      <w:szCs w:val="32"/>
      <w:lang w:val="en-US" w:eastAsia="zh-CN" w:bidi="ar-SA"/>
    </w:rPr>
  </w:style>
  <w:style w:type="character" w:customStyle="1" w:styleId="7">
    <w:name w:val="19"/>
    <w:qFormat/>
    <w:uiPriority w:val="0"/>
    <w:rPr>
      <w:rFonts w:hint="eastAsia" w:ascii="宋体" w:hAnsi="宋体" w:eastAsia="宋体" w:cs="宋体"/>
      <w:color w:val="000000"/>
      <w:sz w:val="28"/>
      <w:szCs w:val="28"/>
    </w:rPr>
  </w:style>
  <w:style w:type="character" w:customStyle="1" w:styleId="8">
    <w:name w:val="18"/>
    <w:qFormat/>
    <w:uiPriority w:val="0"/>
    <w:rPr>
      <w:rFonts w:hint="eastAsia" w:ascii="宋体" w:hAnsi="宋体" w:eastAsia="宋体" w:cs="宋体"/>
      <w:color w:val="000000"/>
      <w:sz w:val="20"/>
      <w:szCs w:val="20"/>
    </w:rPr>
  </w:style>
  <w:style w:type="character" w:customStyle="1" w:styleId="9">
    <w:name w:val="16"/>
    <w:qFormat/>
    <w:uiPriority w:val="0"/>
    <w:rPr>
      <w:rFonts w:hint="eastAsia" w:ascii="宋体" w:hAnsi="宋体" w:eastAsia="宋体" w:cs="宋体"/>
      <w:color w:val="000000"/>
      <w:sz w:val="18"/>
      <w:szCs w:val="18"/>
    </w:rPr>
  </w:style>
  <w:style w:type="character" w:customStyle="1" w:styleId="10">
    <w:name w:val="15"/>
    <w:qFormat/>
    <w:uiPriority w:val="0"/>
    <w:rPr>
      <w:rFonts w:hint="eastAsia" w:ascii="仿宋_GB2312" w:eastAsia="仿宋_GB2312" w:cs="仿宋_GB2312"/>
      <w:b/>
      <w:color w:val="000000"/>
      <w:sz w:val="20"/>
      <w:szCs w:val="20"/>
    </w:rPr>
  </w:style>
  <w:style w:type="character" w:customStyle="1" w:styleId="11">
    <w:name w:val="17"/>
    <w:qFormat/>
    <w:uiPriority w:val="0"/>
    <w:rPr>
      <w:rFonts w:hint="eastAsia" w:ascii="宋体" w:hAnsi="宋体" w:eastAsia="宋体" w:cs="宋体"/>
      <w:color w:val="000000"/>
      <w:sz w:val="20"/>
      <w:szCs w:val="20"/>
    </w:rPr>
  </w:style>
  <w:style w:type="paragraph" w:customStyle="1" w:styleId="12">
    <w:name w:val="样式1"/>
    <w:qFormat/>
    <w:uiPriority w:val="0"/>
    <w:pPr>
      <w:widowControl w:val="0"/>
      <w:jc w:val="both"/>
    </w:pPr>
    <w:rPr>
      <w:rFonts w:ascii="仿宋_GB2312" w:hAnsi="Times New Roman" w:eastAsia="仿宋_GB2312" w:cs="Times New Roman"/>
      <w:kern w:val="2"/>
      <w:sz w:val="28"/>
      <w:szCs w:val="24"/>
      <w:lang w:val="en-US" w:eastAsia="zh-CN" w:bidi="ar-SA"/>
    </w:rPr>
  </w:style>
  <w:style w:type="paragraph" w:customStyle="1" w:styleId="13">
    <w:name w:val="Heading3"/>
    <w:next w:val="1"/>
    <w:qFormat/>
    <w:uiPriority w:val="0"/>
    <w:pPr>
      <w:keepNext/>
      <w:keepLines/>
      <w:spacing w:before="260" w:after="260" w:line="413" w:lineRule="auto"/>
      <w:jc w:val="both"/>
      <w:textAlignment w:val="baseline"/>
    </w:pPr>
    <w:rPr>
      <w:rFonts w:ascii="等线" w:hAnsi="等线" w:eastAsia="等线" w:cs="Times New Roman"/>
      <w:b/>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937</Words>
  <Characters>1023</Characters>
  <Lines>0</Lines>
  <Paragraphs>0</Paragraphs>
  <TotalTime>3</TotalTime>
  <ScaleCrop>false</ScaleCrop>
  <LinksUpToDate>false</LinksUpToDate>
  <CharactersWithSpaces>1030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Administrator</dc:creator>
  <cp:lastModifiedBy>wjw</cp:lastModifiedBy>
  <cp:lastPrinted>2025-03-25T08:57:00Z</cp:lastPrinted>
  <dcterms:modified xsi:type="dcterms:W3CDTF">2025-04-08T08:48:17Z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47E11D9056D04F93918233FEB480B5A1_13</vt:lpwstr>
  </property>
  <property fmtid="{D5CDD505-2E9C-101B-9397-08002B2CF9AE}" pid="4" name="KSOTemplateDocerSaveRecord">
    <vt:lpwstr>eyJoZGlkIjoiYzI4YjZlMTZhZDlhOTUwOGI3MmRjYmU3ZWJmMWEyN2QiLCJ1c2VySWQiOiI0NDkyNTM2OTYifQ==</vt:lpwstr>
  </property>
</Properties>
</file>