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10249"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80"/>
        <w:gridCol w:w="708"/>
        <w:gridCol w:w="1072"/>
        <w:gridCol w:w="2004"/>
        <w:gridCol w:w="1312"/>
        <w:gridCol w:w="1433"/>
        <w:gridCol w:w="1413"/>
        <w:gridCol w:w="1627"/>
      </w:tblGrid>
      <w:tr w14:paraId="0B6E3C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3" w:hRule="atLeast"/>
          <w:jc w:val="center"/>
        </w:trPr>
        <w:tc>
          <w:tcPr>
            <w:tcW w:w="10249" w:type="dxa"/>
            <w:gridSpan w:val="8"/>
            <w:tcBorders>
              <w:top w:val="nil"/>
              <w:left w:val="nil"/>
              <w:bottom w:val="nil"/>
              <w:right w:val="nil"/>
            </w:tcBorders>
            <w:shd w:val="clear" w:color="auto" w:fill="auto"/>
            <w:vAlign w:val="center"/>
          </w:tcPr>
          <w:p w14:paraId="30C18A8B">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center"/>
              <w:rPr>
                <w:rFonts w:hint="eastAsia" w:ascii="宋体" w:hAnsi="宋体" w:eastAsia="宋体" w:cs="宋体"/>
                <w:b/>
                <w:bCs/>
                <w:i w:val="0"/>
                <w:iCs w:val="0"/>
                <w:color w:val="auto"/>
                <w:sz w:val="28"/>
                <w:szCs w:val="28"/>
                <w:highlight w:val="none"/>
                <w:u w:val="none"/>
              </w:rPr>
            </w:pPr>
            <w:bookmarkStart w:id="0" w:name="红头"/>
            <w:r>
              <w:rPr>
                <w:rFonts w:hint="eastAsia" w:ascii="方正小标宋简体" w:hAnsi="方正小标宋简体" w:eastAsia="方正小标宋简体" w:cs="方正小标宋简体"/>
                <w:b w:val="0"/>
                <w:bCs w:val="0"/>
                <w:i w:val="0"/>
                <w:iCs w:val="0"/>
                <w:color w:val="auto"/>
                <w:kern w:val="0"/>
                <w:sz w:val="32"/>
                <w:szCs w:val="32"/>
                <w:highlight w:val="none"/>
                <w:u w:val="none"/>
                <w:lang w:val="en-US" w:eastAsia="zh-CN" w:bidi="ar"/>
              </w:rPr>
              <w:t>中央对地方转移支付项目绩效评价表</w:t>
            </w:r>
          </w:p>
        </w:tc>
      </w:tr>
      <w:tr w14:paraId="4A652CB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jc w:val="center"/>
        </w:trPr>
        <w:tc>
          <w:tcPr>
            <w:tcW w:w="10249" w:type="dxa"/>
            <w:gridSpan w:val="8"/>
            <w:tcBorders>
              <w:top w:val="nil"/>
              <w:left w:val="nil"/>
              <w:bottom w:val="single" w:color="000000" w:sz="4" w:space="0"/>
              <w:right w:val="nil"/>
            </w:tcBorders>
            <w:shd w:val="clear" w:color="auto" w:fill="auto"/>
            <w:vAlign w:val="center"/>
          </w:tcPr>
          <w:p w14:paraId="14F76EC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2"/>
                <w:szCs w:val="22"/>
                <w:highlight w:val="none"/>
                <w:u w:val="none"/>
              </w:rPr>
            </w:pPr>
            <w:r>
              <w:rPr>
                <w:rFonts w:hint="eastAsia" w:ascii="仿宋" w:hAnsi="仿宋" w:eastAsia="仿宋" w:cs="仿宋"/>
                <w:i w:val="0"/>
                <w:iCs w:val="0"/>
                <w:color w:val="auto"/>
                <w:kern w:val="0"/>
                <w:sz w:val="22"/>
                <w:szCs w:val="22"/>
                <w:highlight w:val="none"/>
                <w:u w:val="none"/>
                <w:lang w:val="en-US" w:eastAsia="zh-CN" w:bidi="ar"/>
              </w:rPr>
              <w:t>（2024年度）</w:t>
            </w:r>
          </w:p>
        </w:tc>
      </w:tr>
      <w:tr w14:paraId="3A5D7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6" w:hRule="atLeast"/>
          <w:jc w:val="center"/>
        </w:trPr>
        <w:tc>
          <w:tcPr>
            <w:tcW w:w="24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61FD9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项目名称</w:t>
            </w:r>
          </w:p>
        </w:tc>
        <w:tc>
          <w:tcPr>
            <w:tcW w:w="77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410407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出生缺陷防治人才培训项目</w:t>
            </w:r>
          </w:p>
        </w:tc>
      </w:tr>
      <w:tr w14:paraId="3A6F03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2" w:hRule="atLeast"/>
          <w:jc w:val="center"/>
        </w:trPr>
        <w:tc>
          <w:tcPr>
            <w:tcW w:w="24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60796E8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中央主管部门</w:t>
            </w:r>
          </w:p>
        </w:tc>
        <w:tc>
          <w:tcPr>
            <w:tcW w:w="7789" w:type="dxa"/>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289194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国家卫生健康委妇幼司</w:t>
            </w:r>
          </w:p>
        </w:tc>
      </w:tr>
      <w:tr w14:paraId="213D7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9" w:hRule="atLeast"/>
          <w:jc w:val="center"/>
        </w:trPr>
        <w:tc>
          <w:tcPr>
            <w:tcW w:w="246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18894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地方主管部门</w:t>
            </w:r>
          </w:p>
        </w:tc>
        <w:tc>
          <w:tcPr>
            <w:tcW w:w="3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F67639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宁夏回族自治区卫生健康委</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02054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实施单位</w:t>
            </w:r>
          </w:p>
        </w:tc>
        <w:tc>
          <w:tcPr>
            <w:tcW w:w="3040"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4039E5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宁夏医科大学总医院</w:t>
            </w:r>
          </w:p>
        </w:tc>
      </w:tr>
      <w:tr w14:paraId="3DBDF5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46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3D482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项目资金（万元）</w:t>
            </w: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D9F87A">
            <w:pPr>
              <w:keepNext w:val="0"/>
              <w:keepLines w:val="0"/>
              <w:pageBreakBefore w:val="0"/>
              <w:widowControl/>
              <w:kinsoku/>
              <w:wordWrap/>
              <w:overflowPunct/>
              <w:topLinePunct w:val="0"/>
              <w:autoSpaceDE/>
              <w:autoSpaceDN/>
              <w:bidi w:val="0"/>
              <w:adjustRightInd/>
              <w:snapToGrid/>
              <w:spacing w:line="260" w:lineRule="exact"/>
              <w:rPr>
                <w:rFonts w:hint="eastAsia" w:ascii="仿宋" w:hAnsi="仿宋" w:eastAsia="仿宋" w:cs="仿宋"/>
                <w:i w:val="0"/>
                <w:iCs w:val="0"/>
                <w:color w:val="auto"/>
                <w:sz w:val="20"/>
                <w:szCs w:val="20"/>
                <w:highlight w:val="none"/>
                <w:u w:val="none"/>
              </w:rPr>
            </w:pP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7F1C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全年预算数（A）</w:t>
            </w:r>
          </w:p>
        </w:tc>
        <w:tc>
          <w:tcPr>
            <w:tcW w:w="2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D82606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全年执行数（B）</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169C8">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执行率（B/A)</w:t>
            </w:r>
          </w:p>
        </w:tc>
      </w:tr>
      <w:tr w14:paraId="36729C1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5" w:hRule="atLeast"/>
          <w:jc w:val="center"/>
        </w:trPr>
        <w:tc>
          <w:tcPr>
            <w:tcW w:w="24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17DDAEE">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B41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年度资金总额：</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DFAC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22.94</w:t>
            </w:r>
          </w:p>
        </w:tc>
        <w:tc>
          <w:tcPr>
            <w:tcW w:w="2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9ADD8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6.74</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FD6B3">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29.39%</w:t>
            </w:r>
          </w:p>
        </w:tc>
      </w:tr>
      <w:tr w14:paraId="754AFB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4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BCA4ACD">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3F397B">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 xml:space="preserve"> </w:t>
            </w:r>
            <w:r>
              <w:rPr>
                <w:rStyle w:val="13"/>
                <w:rFonts w:hint="eastAsia" w:ascii="仿宋" w:hAnsi="仿宋" w:eastAsia="仿宋" w:cs="仿宋"/>
                <w:color w:val="auto"/>
                <w:highlight w:val="none"/>
                <w:lang w:val="en-US" w:eastAsia="zh-CN" w:bidi="ar"/>
              </w:rPr>
              <w:t>其中：中央补助</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3809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21.6</w:t>
            </w:r>
          </w:p>
        </w:tc>
        <w:tc>
          <w:tcPr>
            <w:tcW w:w="2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25318D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5.41</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544DC">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25.05%</w:t>
            </w:r>
          </w:p>
        </w:tc>
      </w:tr>
      <w:tr w14:paraId="7569CC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jc w:val="center"/>
        </w:trPr>
        <w:tc>
          <w:tcPr>
            <w:tcW w:w="24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5F03B9">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165324">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 xml:space="preserve"> </w:t>
            </w:r>
            <w:r>
              <w:rPr>
                <w:rStyle w:val="13"/>
                <w:rFonts w:hint="eastAsia" w:ascii="仿宋" w:hAnsi="仿宋" w:eastAsia="仿宋" w:cs="仿宋"/>
                <w:color w:val="auto"/>
                <w:highlight w:val="none"/>
                <w:lang w:val="en-US" w:eastAsia="zh-CN" w:bidi="ar"/>
              </w:rPr>
              <w:t xml:space="preserve">      地方资金</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D31F2">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0</w:t>
            </w:r>
          </w:p>
        </w:tc>
        <w:tc>
          <w:tcPr>
            <w:tcW w:w="2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E943D5D">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7AF73">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0</w:t>
            </w:r>
          </w:p>
        </w:tc>
      </w:tr>
      <w:tr w14:paraId="7FB6CE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09" w:hRule="atLeast"/>
          <w:jc w:val="center"/>
        </w:trPr>
        <w:tc>
          <w:tcPr>
            <w:tcW w:w="246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3BD981">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200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C468F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18"/>
                <w:szCs w:val="18"/>
                <w:highlight w:val="none"/>
                <w:u w:val="none"/>
              </w:rPr>
            </w:pPr>
            <w:r>
              <w:rPr>
                <w:rFonts w:hint="eastAsia" w:ascii="仿宋" w:hAnsi="仿宋" w:eastAsia="仿宋" w:cs="仿宋"/>
                <w:i w:val="0"/>
                <w:iCs w:val="0"/>
                <w:color w:val="auto"/>
                <w:kern w:val="0"/>
                <w:sz w:val="18"/>
                <w:szCs w:val="18"/>
                <w:highlight w:val="none"/>
                <w:u w:val="none"/>
                <w:lang w:val="en-US" w:eastAsia="zh-CN" w:bidi="ar"/>
              </w:rPr>
              <w:t xml:space="preserve">      </w:t>
            </w:r>
            <w:r>
              <w:rPr>
                <w:rStyle w:val="13"/>
                <w:rFonts w:hint="eastAsia" w:ascii="仿宋" w:hAnsi="仿宋" w:eastAsia="仿宋" w:cs="仿宋"/>
                <w:color w:val="auto"/>
                <w:highlight w:val="none"/>
                <w:lang w:val="en-US" w:eastAsia="zh-CN" w:bidi="ar"/>
              </w:rPr>
              <w:t xml:space="preserve"> 其他资金</w:t>
            </w:r>
          </w:p>
        </w:tc>
        <w:tc>
          <w:tcPr>
            <w:tcW w:w="13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55FABB">
            <w:pPr>
              <w:keepNext w:val="0"/>
              <w:keepLines w:val="0"/>
              <w:pageBreakBefore w:val="0"/>
              <w:widowControl/>
              <w:kinsoku/>
              <w:wordWrap/>
              <w:overflowPunct/>
              <w:topLinePunct w:val="0"/>
              <w:autoSpaceDE/>
              <w:autoSpaceDN/>
              <w:bidi w:val="0"/>
              <w:adjustRightInd/>
              <w:snapToGrid/>
              <w:spacing w:line="260" w:lineRule="exact"/>
              <w:jc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1.34</w:t>
            </w:r>
          </w:p>
        </w:tc>
        <w:tc>
          <w:tcPr>
            <w:tcW w:w="28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D3DC4A5">
            <w:pPr>
              <w:keepNext w:val="0"/>
              <w:keepLines w:val="0"/>
              <w:pageBreakBefore w:val="0"/>
              <w:widowControl/>
              <w:kinsoku/>
              <w:wordWrap/>
              <w:overflowPunct/>
              <w:topLinePunct w:val="0"/>
              <w:autoSpaceDE/>
              <w:autoSpaceDN/>
              <w:bidi w:val="0"/>
              <w:adjustRightInd/>
              <w:snapToGrid/>
              <w:spacing w:line="260" w:lineRule="exact"/>
              <w:jc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1.33</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2A2AA">
            <w:pPr>
              <w:keepNext w:val="0"/>
              <w:keepLines w:val="0"/>
              <w:pageBreakBefore w:val="0"/>
              <w:widowControl/>
              <w:kinsoku/>
              <w:wordWrap/>
              <w:overflowPunct/>
              <w:topLinePunct w:val="0"/>
              <w:autoSpaceDE/>
              <w:autoSpaceDN/>
              <w:bidi w:val="0"/>
              <w:adjustRightInd/>
              <w:snapToGrid/>
              <w:spacing w:line="260" w:lineRule="exact"/>
              <w:jc w:val="center"/>
              <w:rPr>
                <w:rFonts w:hint="default" w:ascii="仿宋" w:hAnsi="仿宋" w:eastAsia="仿宋" w:cs="仿宋"/>
                <w:i w:val="0"/>
                <w:iCs w:val="0"/>
                <w:color w:val="auto"/>
                <w:sz w:val="20"/>
                <w:szCs w:val="20"/>
                <w:highlight w:val="none"/>
                <w:u w:val="none"/>
                <w:lang w:val="en-US" w:eastAsia="zh-CN"/>
              </w:rPr>
            </w:pPr>
            <w:r>
              <w:rPr>
                <w:rFonts w:hint="eastAsia" w:ascii="仿宋" w:hAnsi="仿宋" w:eastAsia="仿宋" w:cs="仿宋"/>
                <w:i w:val="0"/>
                <w:iCs w:val="0"/>
                <w:color w:val="auto"/>
                <w:sz w:val="20"/>
                <w:szCs w:val="20"/>
                <w:highlight w:val="none"/>
                <w:u w:val="none"/>
                <w:lang w:val="en-US" w:eastAsia="zh-CN"/>
              </w:rPr>
              <w:t>99.25%</w:t>
            </w:r>
          </w:p>
        </w:tc>
      </w:tr>
      <w:tr w14:paraId="62D14E9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4" w:hRule="atLeast"/>
          <w:jc w:val="center"/>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390EC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年度总体目标</w:t>
            </w:r>
          </w:p>
        </w:tc>
        <w:tc>
          <w:tcPr>
            <w:tcW w:w="50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79B1BC3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年初设定目标</w:t>
            </w:r>
          </w:p>
        </w:tc>
        <w:tc>
          <w:tcPr>
            <w:tcW w:w="44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52730AB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全年实际完成情况</w:t>
            </w:r>
          </w:p>
        </w:tc>
      </w:tr>
      <w:tr w14:paraId="54475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jc w:val="center"/>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3420904">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5096"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9DC6B62">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培训出生缺陷防治人才20人，提升基层出生缺陷综合防治能力和水平。</w:t>
            </w:r>
          </w:p>
        </w:tc>
        <w:tc>
          <w:tcPr>
            <w:tcW w:w="447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8F2837">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2024年实际招收培训学员20人，截止2024年12月31日，20名学员全部完成培训并结业考核合格。</w:t>
            </w:r>
          </w:p>
        </w:tc>
      </w:tr>
      <w:tr w14:paraId="461E6C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90" w:hRule="atLeast"/>
          <w:jc w:val="center"/>
        </w:trPr>
        <w:tc>
          <w:tcPr>
            <w:tcW w:w="680" w:type="dxa"/>
            <w:vMerge w:val="restart"/>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E99F5AE">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绩效指标</w:t>
            </w: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4CA6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一级</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指标</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CE54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二级指标</w:t>
            </w:r>
          </w:p>
        </w:tc>
        <w:tc>
          <w:tcPr>
            <w:tcW w:w="3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6A720E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三级指标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0438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年度指标值</w:t>
            </w:r>
          </w:p>
        </w:tc>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87C6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全年完成值</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BF96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未完成原因和改进措施</w:t>
            </w:r>
          </w:p>
        </w:tc>
      </w:tr>
      <w:tr w14:paraId="00454B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2" w:hRule="atLeast"/>
          <w:jc w:val="center"/>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7E45CA8">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377B43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产</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出</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指</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标</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83EF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数量指标</w:t>
            </w:r>
          </w:p>
        </w:tc>
        <w:tc>
          <w:tcPr>
            <w:tcW w:w="3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156D65D">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指标1：出生缺陷防治培养人数</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961A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color w:val="auto"/>
                <w:kern w:val="0"/>
                <w:sz w:val="20"/>
                <w:szCs w:val="20"/>
                <w:highlight w:val="none"/>
                <w:u w:val="none"/>
                <w:lang w:val="en-US" w:eastAsia="zh-CN" w:bidi="ar"/>
              </w:rPr>
              <w:t>20</w:t>
            </w:r>
          </w:p>
        </w:tc>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38C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default" w:ascii="仿宋" w:hAnsi="仿宋" w:eastAsia="仿宋" w:cs="仿宋"/>
                <w:i w:val="0"/>
                <w:iCs w:val="0"/>
                <w:color w:val="auto"/>
                <w:sz w:val="20"/>
                <w:szCs w:val="20"/>
                <w:highlight w:val="none"/>
                <w:u w:val="none"/>
                <w:lang w:val="en-US"/>
              </w:rPr>
            </w:pPr>
            <w:r>
              <w:rPr>
                <w:rFonts w:hint="eastAsia" w:ascii="仿宋" w:hAnsi="仿宋" w:eastAsia="仿宋" w:cs="仿宋"/>
                <w:i w:val="0"/>
                <w:iCs w:val="0"/>
                <w:color w:val="auto"/>
                <w:kern w:val="0"/>
                <w:sz w:val="20"/>
                <w:szCs w:val="20"/>
                <w:highlight w:val="none"/>
                <w:u w:val="none"/>
                <w:lang w:val="en-US" w:eastAsia="zh-CN" w:bidi="ar"/>
              </w:rPr>
              <w:t>20</w:t>
            </w:r>
          </w:p>
        </w:tc>
        <w:tc>
          <w:tcPr>
            <w:tcW w:w="1627" w:type="dxa"/>
            <w:tcBorders>
              <w:top w:val="single" w:color="000000" w:sz="4" w:space="0"/>
              <w:left w:val="single" w:color="000000" w:sz="4" w:space="0"/>
              <w:bottom w:val="nil"/>
              <w:right w:val="single" w:color="000000" w:sz="4" w:space="0"/>
            </w:tcBorders>
            <w:shd w:val="clear" w:color="auto" w:fill="auto"/>
            <w:vAlign w:val="center"/>
          </w:tcPr>
          <w:p w14:paraId="45A1DC26">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p>
        </w:tc>
      </w:tr>
      <w:tr w14:paraId="5BEA56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jc w:val="center"/>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21D60B19">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DFEC38">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1BB3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质量指标</w:t>
            </w:r>
          </w:p>
        </w:tc>
        <w:tc>
          <w:tcPr>
            <w:tcW w:w="3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54ED4C3">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指标1：培训学员结业考试合格率</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E722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100%</w:t>
            </w:r>
          </w:p>
        </w:tc>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1980D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100%</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F19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p>
        </w:tc>
      </w:tr>
      <w:tr w14:paraId="6BFD9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5" w:hRule="atLeast"/>
          <w:jc w:val="center"/>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555338D0">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304BD3">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801C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时效指标</w:t>
            </w:r>
          </w:p>
        </w:tc>
        <w:tc>
          <w:tcPr>
            <w:tcW w:w="3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4BED9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指标1：出生缺陷防治人才培训完成时间</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29194">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12周/人</w:t>
            </w:r>
          </w:p>
        </w:tc>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5726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12周/人</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17FB9">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r>
      <w:tr w14:paraId="2B5218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8" w:hRule="atLeast"/>
          <w:jc w:val="center"/>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0777343E">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9E3B68">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0DA7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成本指标</w:t>
            </w:r>
          </w:p>
        </w:tc>
        <w:tc>
          <w:tcPr>
            <w:tcW w:w="3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950830F">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指标1：出生缺陷防治人才培训项目补助标准</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147A1">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10800元/人</w:t>
            </w:r>
          </w:p>
        </w:tc>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C01F2">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10800元/人</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EF51F">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r>
      <w:tr w14:paraId="22F5A1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51" w:hRule="atLeast"/>
          <w:jc w:val="center"/>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1AFA2619">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70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F46337">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CBE09">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社会效益</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指标</w:t>
            </w:r>
          </w:p>
        </w:tc>
        <w:tc>
          <w:tcPr>
            <w:tcW w:w="3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017D5B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指标1：基层医疗机构医疗服务质量</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C597">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显著提升</w:t>
            </w:r>
          </w:p>
        </w:tc>
        <w:tc>
          <w:tcPr>
            <w:tcW w:w="1413" w:type="dxa"/>
            <w:tcBorders>
              <w:top w:val="nil"/>
              <w:left w:val="nil"/>
              <w:bottom w:val="nil"/>
              <w:right w:val="nil"/>
            </w:tcBorders>
            <w:shd w:val="clear" w:color="auto" w:fill="auto"/>
            <w:vAlign w:val="center"/>
          </w:tcPr>
          <w:p w14:paraId="2D4A467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显著提升</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9CDC">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r>
      <w:tr w14:paraId="307EB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3" w:hRule="atLeast"/>
          <w:jc w:val="center"/>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34729790">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70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A896AAC">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12C8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可持续影响指标</w:t>
            </w:r>
          </w:p>
        </w:tc>
        <w:tc>
          <w:tcPr>
            <w:tcW w:w="3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8C4445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指标1：参培医师医疗服务能力</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6EE5D">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显著提升</w:t>
            </w:r>
          </w:p>
        </w:tc>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678C6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显著提升</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5CCA7A">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r>
      <w:tr w14:paraId="2FB73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70" w:hRule="atLeast"/>
          <w:jc w:val="center"/>
        </w:trPr>
        <w:tc>
          <w:tcPr>
            <w:tcW w:w="680" w:type="dxa"/>
            <w:vMerge w:val="continue"/>
            <w:tcBorders>
              <w:top w:val="single" w:color="000000" w:sz="4" w:space="0"/>
              <w:left w:val="single" w:color="000000" w:sz="4" w:space="0"/>
              <w:bottom w:val="single" w:color="000000" w:sz="4" w:space="0"/>
              <w:right w:val="single" w:color="000000" w:sz="4" w:space="0"/>
            </w:tcBorders>
            <w:shd w:val="clear" w:color="auto" w:fill="auto"/>
            <w:textDirection w:val="tbRlV"/>
            <w:vAlign w:val="center"/>
          </w:tcPr>
          <w:p w14:paraId="676BF9D2">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c>
          <w:tcPr>
            <w:tcW w:w="70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3B087A">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满意度指标</w:t>
            </w:r>
          </w:p>
        </w:tc>
        <w:tc>
          <w:tcPr>
            <w:tcW w:w="10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E658B">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服务对象</w:t>
            </w:r>
            <w:r>
              <w:rPr>
                <w:rFonts w:hint="eastAsia" w:ascii="仿宋" w:hAnsi="仿宋" w:eastAsia="仿宋" w:cs="仿宋"/>
                <w:i w:val="0"/>
                <w:iCs w:val="0"/>
                <w:color w:val="auto"/>
                <w:kern w:val="0"/>
                <w:sz w:val="20"/>
                <w:szCs w:val="20"/>
                <w:highlight w:val="none"/>
                <w:u w:val="none"/>
                <w:lang w:val="en-US" w:eastAsia="zh-CN" w:bidi="ar"/>
              </w:rPr>
              <w:br w:type="textWrapping"/>
            </w:r>
            <w:r>
              <w:rPr>
                <w:rFonts w:hint="eastAsia" w:ascii="仿宋" w:hAnsi="仿宋" w:eastAsia="仿宋" w:cs="仿宋"/>
                <w:i w:val="0"/>
                <w:iCs w:val="0"/>
                <w:color w:val="auto"/>
                <w:kern w:val="0"/>
                <w:sz w:val="20"/>
                <w:szCs w:val="20"/>
                <w:highlight w:val="none"/>
                <w:u w:val="none"/>
                <w:lang w:val="en-US" w:eastAsia="zh-CN" w:bidi="ar"/>
              </w:rPr>
              <w:t>满意度指标</w:t>
            </w:r>
          </w:p>
        </w:tc>
        <w:tc>
          <w:tcPr>
            <w:tcW w:w="331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768FC8">
            <w:pPr>
              <w:keepNext w:val="0"/>
              <w:keepLines w:val="0"/>
              <w:pageBreakBefore w:val="0"/>
              <w:widowControl/>
              <w:suppressLineNumbers w:val="0"/>
              <w:kinsoku/>
              <w:wordWrap/>
              <w:overflowPunct/>
              <w:topLinePunct w:val="0"/>
              <w:autoSpaceDE/>
              <w:autoSpaceDN/>
              <w:bidi w:val="0"/>
              <w:adjustRightInd/>
              <w:snapToGrid/>
              <w:spacing w:line="260" w:lineRule="exact"/>
              <w:jc w:val="left"/>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指标1：参培学员满意度</w:t>
            </w:r>
          </w:p>
        </w:tc>
        <w:tc>
          <w:tcPr>
            <w:tcW w:w="143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502D5">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≥80%</w:t>
            </w:r>
          </w:p>
        </w:tc>
        <w:tc>
          <w:tcPr>
            <w:tcW w:w="141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A44FF">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96%</w:t>
            </w:r>
          </w:p>
        </w:tc>
        <w:tc>
          <w:tcPr>
            <w:tcW w:w="162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50D86">
            <w:pPr>
              <w:keepNext w:val="0"/>
              <w:keepLines w:val="0"/>
              <w:pageBreakBefore w:val="0"/>
              <w:widowControl/>
              <w:kinsoku/>
              <w:wordWrap/>
              <w:overflowPunct/>
              <w:topLinePunct w:val="0"/>
              <w:autoSpaceDE/>
              <w:autoSpaceDN/>
              <w:bidi w:val="0"/>
              <w:adjustRightInd/>
              <w:snapToGrid/>
              <w:spacing w:line="260" w:lineRule="exact"/>
              <w:jc w:val="center"/>
              <w:rPr>
                <w:rFonts w:hint="eastAsia" w:ascii="仿宋" w:hAnsi="仿宋" w:eastAsia="仿宋" w:cs="仿宋"/>
                <w:i w:val="0"/>
                <w:iCs w:val="0"/>
                <w:color w:val="auto"/>
                <w:sz w:val="20"/>
                <w:szCs w:val="20"/>
                <w:highlight w:val="none"/>
                <w:u w:val="none"/>
              </w:rPr>
            </w:pPr>
          </w:p>
        </w:tc>
      </w:tr>
      <w:tr w14:paraId="29E47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2" w:hRule="atLeast"/>
          <w:jc w:val="center"/>
        </w:trPr>
        <w:tc>
          <w:tcPr>
            <w:tcW w:w="68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7DA50">
            <w:pPr>
              <w:keepNext w:val="0"/>
              <w:keepLines w:val="0"/>
              <w:pageBreakBefore w:val="0"/>
              <w:widowControl/>
              <w:suppressLineNumbers w:val="0"/>
              <w:kinsoku/>
              <w:wordWrap/>
              <w:overflowPunct/>
              <w:topLinePunct w:val="0"/>
              <w:autoSpaceDE/>
              <w:autoSpaceDN/>
              <w:bidi w:val="0"/>
              <w:adjustRightInd/>
              <w:snapToGrid/>
              <w:spacing w:line="260" w:lineRule="exact"/>
              <w:jc w:val="center"/>
              <w:textAlignment w:val="center"/>
              <w:rPr>
                <w:rFonts w:hint="eastAsia" w:ascii="仿宋" w:hAnsi="仿宋" w:eastAsia="仿宋" w:cs="仿宋"/>
                <w:i w:val="0"/>
                <w:iCs w:val="0"/>
                <w:color w:val="auto"/>
                <w:sz w:val="20"/>
                <w:szCs w:val="20"/>
                <w:highlight w:val="none"/>
                <w:u w:val="none"/>
              </w:rPr>
            </w:pPr>
            <w:r>
              <w:rPr>
                <w:rFonts w:hint="eastAsia" w:ascii="仿宋" w:hAnsi="仿宋" w:eastAsia="仿宋" w:cs="仿宋"/>
                <w:i w:val="0"/>
                <w:iCs w:val="0"/>
                <w:color w:val="auto"/>
                <w:kern w:val="0"/>
                <w:sz w:val="20"/>
                <w:szCs w:val="20"/>
                <w:highlight w:val="none"/>
                <w:u w:val="none"/>
                <w:lang w:val="en-US" w:eastAsia="zh-CN" w:bidi="ar"/>
              </w:rPr>
              <w:t>说明</w:t>
            </w:r>
          </w:p>
        </w:tc>
        <w:tc>
          <w:tcPr>
            <w:tcW w:w="956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7FD42463">
            <w:pPr>
              <w:keepNext w:val="0"/>
              <w:keepLines w:val="0"/>
              <w:pageBreakBefore w:val="0"/>
              <w:widowControl/>
              <w:kinsoku/>
              <w:wordWrap/>
              <w:overflowPunct/>
              <w:topLinePunct w:val="0"/>
              <w:autoSpaceDE/>
              <w:autoSpaceDN/>
              <w:bidi w:val="0"/>
              <w:adjustRightInd/>
              <w:snapToGrid/>
              <w:spacing w:line="260" w:lineRule="exact"/>
              <w:jc w:val="both"/>
              <w:rPr>
                <w:rFonts w:hint="eastAsia" w:ascii="仿宋" w:hAnsi="仿宋" w:eastAsia="仿宋" w:cs="仿宋"/>
                <w:i w:val="0"/>
                <w:iCs w:val="0"/>
                <w:color w:val="auto"/>
                <w:sz w:val="20"/>
                <w:szCs w:val="20"/>
                <w:highlight w:val="none"/>
                <w:u w:val="none"/>
                <w:lang w:eastAsia="zh-CN"/>
              </w:rPr>
            </w:pPr>
            <w:r>
              <w:rPr>
                <w:rFonts w:hint="eastAsia" w:ascii="仿宋" w:hAnsi="仿宋" w:eastAsia="仿宋" w:cs="仿宋"/>
                <w:i w:val="0"/>
                <w:iCs w:val="0"/>
                <w:color w:val="auto"/>
                <w:sz w:val="20"/>
                <w:szCs w:val="20"/>
                <w:highlight w:val="none"/>
                <w:u w:val="none"/>
                <w:lang w:eastAsia="zh-CN"/>
              </w:rPr>
              <w:t>资金支付进度受财务报销制度和流程方面等跟进协调不畅造成一定迟缓，目前已积极整改，督促进度。</w:t>
            </w:r>
          </w:p>
        </w:tc>
      </w:tr>
      <w:bookmarkEnd w:id="0"/>
    </w:tbl>
    <w:p w14:paraId="2287BCD4">
      <w:pPr>
        <w:pStyle w:val="7"/>
        <w:keepNext w:val="0"/>
        <w:keepLines w:val="0"/>
        <w:pageBreakBefore w:val="0"/>
        <w:widowControl/>
        <w:kinsoku/>
        <w:wordWrap/>
        <w:overflowPunct/>
        <w:topLinePunct w:val="0"/>
        <w:autoSpaceDE/>
        <w:autoSpaceDN/>
        <w:bidi w:val="0"/>
        <w:adjustRightInd w:val="0"/>
        <w:snapToGrid w:val="0"/>
        <w:spacing w:line="192" w:lineRule="auto"/>
        <w:jc w:val="center"/>
        <w:textAlignment w:val="auto"/>
        <w:rPr>
          <w:color w:val="auto"/>
          <w:highlight w:val="none"/>
        </w:rPr>
      </w:pPr>
      <w:bookmarkStart w:id="1" w:name="_GoBack"/>
      <w:bookmarkEnd w:id="1"/>
    </w:p>
    <w:sectPr>
      <w:footerReference r:id="rId4" w:type="first"/>
      <w:footerReference r:id="rId3" w:type="default"/>
      <w:pgSz w:w="11906" w:h="16838"/>
      <w:pgMar w:top="2098" w:right="1474" w:bottom="1984" w:left="1587" w:header="851" w:footer="992" w:gutter="0"/>
      <w:pgBorders>
        <w:top w:val="none" w:sz="0" w:space="0"/>
        <w:left w:val="none" w:sz="0" w:space="0"/>
        <w:bottom w:val="none" w:sz="0" w:space="0"/>
        <w:right w:val="none" w:sz="0" w:space="0"/>
      </w:pgBorders>
      <w:pgNumType w:fmt="numberInDash"/>
      <w:cols w:space="720" w:num="1"/>
      <w:titlePg/>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86"/>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Cambria">
    <w:altName w:val="FreeSerif"/>
    <w:panose1 w:val="02040503050406030204"/>
    <w:charset w:val="00"/>
    <w:family w:val="roman"/>
    <w:pitch w:val="default"/>
    <w:sig w:usb0="00000000" w:usb1="00000000" w:usb2="02000000" w:usb3="00000000" w:csb0="2000019F" w:csb1="00000000"/>
  </w:font>
  <w:font w:name="FreeSerif">
    <w:panose1 w:val="02020603050405020304"/>
    <w:charset w:val="00"/>
    <w:family w:val="auto"/>
    <w:pitch w:val="default"/>
    <w:sig w:usb0="E59FAFFF" w:usb1="C200FDFF" w:usb2="43501B29" w:usb3="04000043" w:csb0="600101FF" w:csb1="FFFF0000"/>
  </w:font>
  <w:font w:name="方正小标宋简体">
    <w:panose1 w:val="02000000000000000000"/>
    <w:charset w:val="86"/>
    <w:family w:val="script"/>
    <w:pitch w:val="default"/>
    <w:sig w:usb0="A00002BF" w:usb1="184F6CFA" w:usb2="00000012" w:usb3="00000000" w:csb0="00040001" w:csb1="00000000"/>
  </w:font>
  <w:font w:name="方正黑体_GBK">
    <w:panose1 w:val="02000000000000000000"/>
    <w:charset w:val="86"/>
    <w:family w:val="auto"/>
    <w:pitch w:val="default"/>
    <w:sig w:usb0="00000001" w:usb1="0800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athJax_Vector">
    <w:panose1 w:val="02000603000000000000"/>
    <w:charset w:val="00"/>
    <w:family w:val="auto"/>
    <w:pitch w:val="default"/>
    <w:sig w:usb0="00000001" w:usb1="0000002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BCA0FB">
    <w:pPr>
      <w:pStyle w:val="4"/>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471B3A6C">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wps:txbx>
                    <wps:bodyPr vert="horz" wrap="none" lIns="0" tIns="0" rIns="0" bIns="0" anchor="t" anchorCtr="0" upright="0">
                      <a:spAutoFit/>
                    </wps:bodyPr>
                  </wps:wsp>
                </a:graphicData>
              </a:graphic>
            </wp:anchor>
          </w:drawing>
        </mc:Choice>
        <mc:Fallback>
          <w:pict>
            <v:shape id="文本框 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GhpgkvT&#10;AAAABQEAAA8AAAAAAAAAAQAgAAAAIgAAAGRycy9kb3ducmV2LnhtbFBLAQIUABQAAAAIAIdO4kBI&#10;LCj77AEAANYDAAAOAAAAAAAAAAEAIAAAACIBAABkcnMvZTJvRG9jLnhtbFBLBQYAAAAABgAGAFkB&#10;AACABQAAAAA=&#10;">
              <v:fill on="f" focussize="0,0"/>
              <v:stroke on="f" weight="1.25pt"/>
              <v:imagedata o:title=""/>
              <o:lock v:ext="edit" aspectratio="f"/>
              <v:textbox inset="0mm,0mm,0mm,0mm" style="mso-fit-shape-to-text:t;">
                <w:txbxContent>
                  <w:p w14:paraId="471B3A6C">
                    <w:pPr>
                      <w:pStyle w:val="4"/>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2</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E78E16">
    <w:pPr>
      <w:pStyle w:val="4"/>
      <w:rPr>
        <w:rFonts w:ascii="Times New Roman" w:hAnsi="Times New Roman" w:cs="Times New Roman"/>
      </w:rPr>
    </w:pPr>
    <w:r>
      <w:rPr>
        <w:rFonts w:ascii="Times New Roman" w:hAnsi="Times New Roman" w:cs="Times New Roman"/>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5F10FAFF">
                          <w:pPr>
                            <w:pStyle w:val="4"/>
                            <w:rPr>
                              <w:rFonts w:hint="eastAsia" w:ascii="Times New Roman" w:hAnsi="Times New Roman" w:eastAsia="仿宋_GB2312" w:cs="Times New Roman"/>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wps:txbx>
                    <wps:bodyPr vert="horz" wrap="none" lIns="0" tIns="0" rIns="0" bIns="0" anchor="t" anchorCtr="0" upright="0">
                      <a:spAutoFit/>
                    </wps:bodyPr>
                  </wps:wsp>
                </a:graphicData>
              </a:graphic>
            </wp:anchor>
          </w:drawing>
        </mc:Choice>
        <mc:Fallback>
          <w:pict>
            <v:shape id="文本框 7"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oaYJL&#10;0wAAAAUBAAAPAAAAAAAAAAEAIAAAACIAAABkcnMvZG93bnJldi54bWxQSwECFAAUAAAACACHTuJA&#10;+BvVhu0BAADWAwAADgAAAAAAAAABACAAAAAiAQAAZHJzL2Uyb0RvYy54bWxQSwUGAAAAAAYABgBZ&#10;AQAAgQUAAAAA&#10;">
              <v:fill on="f" focussize="0,0"/>
              <v:stroke on="f" weight="1.25pt"/>
              <v:imagedata o:title=""/>
              <o:lock v:ext="edit" aspectratio="f"/>
              <v:textbox inset="0mm,0mm,0mm,0mm" style="mso-fit-shape-to-text:t;">
                <w:txbxContent>
                  <w:p w14:paraId="5F10FAFF">
                    <w:pPr>
                      <w:pStyle w:val="4"/>
                      <w:rPr>
                        <w:rFonts w:hint="eastAsia" w:ascii="Times New Roman" w:hAnsi="Times New Roman" w:eastAsia="仿宋_GB2312" w:cs="Times New Roman"/>
                      </w:rPr>
                    </w:pPr>
                    <w:r>
                      <w:rPr>
                        <w:rFonts w:hint="eastAsia" w:asciiTheme="minorEastAsia" w:hAnsiTheme="minorEastAsia" w:eastAsiaTheme="minorEastAsia" w:cstheme="minorEastAsia"/>
                        <w:sz w:val="28"/>
                        <w:szCs w:val="28"/>
                      </w:rPr>
                      <w:fldChar w:fldCharType="begin"/>
                    </w:r>
                    <w:r>
                      <w:rPr>
                        <w:rFonts w:hint="eastAsia" w:asciiTheme="minorEastAsia" w:hAnsiTheme="minorEastAsia" w:eastAsiaTheme="minorEastAsia" w:cstheme="minorEastAsia"/>
                        <w:sz w:val="28"/>
                        <w:szCs w:val="28"/>
                      </w:rPr>
                      <w:instrText xml:space="preserve"> PAGE  \* MERGEFORMAT </w:instrText>
                    </w:r>
                    <w:r>
                      <w:rPr>
                        <w:rFonts w:hint="eastAsia" w:asciiTheme="minorEastAsia" w:hAnsiTheme="minorEastAsia" w:eastAsiaTheme="minorEastAsia" w:cstheme="minorEastAsia"/>
                        <w:sz w:val="28"/>
                        <w:szCs w:val="28"/>
                      </w:rPr>
                      <w:fldChar w:fldCharType="separate"/>
                    </w:r>
                    <w:r>
                      <w:rPr>
                        <w:rFonts w:hint="eastAsia" w:asciiTheme="minorEastAsia" w:hAnsiTheme="minorEastAsia" w:eastAsiaTheme="minorEastAsia" w:cstheme="minorEastAsia"/>
                        <w:sz w:val="28"/>
                        <w:szCs w:val="28"/>
                      </w:rPr>
                      <w:t>1</w:t>
                    </w:r>
                    <w:r>
                      <w:rPr>
                        <w:rFonts w:hint="eastAsia" w:asciiTheme="minorEastAsia" w:hAnsiTheme="minorEastAsia" w:eastAsiaTheme="minorEastAsia" w:cstheme="minorEastAsia"/>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NjMTJmMDJmN2EzMWFmNzliN2I3MDQwNjgzN2U3MGYifQ=="/>
  </w:docVars>
  <w:rsids>
    <w:rsidRoot w:val="DA9FDC71"/>
    <w:rsid w:val="0050638A"/>
    <w:rsid w:val="013D4B60"/>
    <w:rsid w:val="025D08EA"/>
    <w:rsid w:val="05542478"/>
    <w:rsid w:val="05B681F7"/>
    <w:rsid w:val="08935065"/>
    <w:rsid w:val="08A94889"/>
    <w:rsid w:val="0A2F0163"/>
    <w:rsid w:val="0A784AA4"/>
    <w:rsid w:val="0AF81AF7"/>
    <w:rsid w:val="0B352404"/>
    <w:rsid w:val="0BFFA453"/>
    <w:rsid w:val="116E6670"/>
    <w:rsid w:val="13A22600"/>
    <w:rsid w:val="13FA41EA"/>
    <w:rsid w:val="15545B7C"/>
    <w:rsid w:val="15C42D02"/>
    <w:rsid w:val="16B03286"/>
    <w:rsid w:val="171E6442"/>
    <w:rsid w:val="172F41D8"/>
    <w:rsid w:val="17F378CF"/>
    <w:rsid w:val="189D0CD9"/>
    <w:rsid w:val="18A706B9"/>
    <w:rsid w:val="19355CC5"/>
    <w:rsid w:val="1A204158"/>
    <w:rsid w:val="1A2226ED"/>
    <w:rsid w:val="1ABF618E"/>
    <w:rsid w:val="1B2E5A81"/>
    <w:rsid w:val="1B9413C8"/>
    <w:rsid w:val="1DEF09D1"/>
    <w:rsid w:val="1E7F697A"/>
    <w:rsid w:val="1F010B23"/>
    <w:rsid w:val="20867995"/>
    <w:rsid w:val="216477B0"/>
    <w:rsid w:val="22796F01"/>
    <w:rsid w:val="241F37F9"/>
    <w:rsid w:val="24AA7567"/>
    <w:rsid w:val="292C49EE"/>
    <w:rsid w:val="2B204A27"/>
    <w:rsid w:val="2D5B1D01"/>
    <w:rsid w:val="2EB34F16"/>
    <w:rsid w:val="2EFEA70E"/>
    <w:rsid w:val="305E56A9"/>
    <w:rsid w:val="32186458"/>
    <w:rsid w:val="324803BF"/>
    <w:rsid w:val="33264181"/>
    <w:rsid w:val="332B3F69"/>
    <w:rsid w:val="35F3592B"/>
    <w:rsid w:val="3667350A"/>
    <w:rsid w:val="37227431"/>
    <w:rsid w:val="37DFF98E"/>
    <w:rsid w:val="37E7C816"/>
    <w:rsid w:val="37FE3A75"/>
    <w:rsid w:val="3B842468"/>
    <w:rsid w:val="3C353027"/>
    <w:rsid w:val="3E7FB7BD"/>
    <w:rsid w:val="3EFEE3B0"/>
    <w:rsid w:val="3FFB07AA"/>
    <w:rsid w:val="403A1C8F"/>
    <w:rsid w:val="40491ED2"/>
    <w:rsid w:val="41596145"/>
    <w:rsid w:val="41D2003F"/>
    <w:rsid w:val="4250579A"/>
    <w:rsid w:val="426258BF"/>
    <w:rsid w:val="42B20202"/>
    <w:rsid w:val="4348021F"/>
    <w:rsid w:val="43EE7018"/>
    <w:rsid w:val="46C9712E"/>
    <w:rsid w:val="473A4323"/>
    <w:rsid w:val="47B317EC"/>
    <w:rsid w:val="4B0E61F2"/>
    <w:rsid w:val="4B38501D"/>
    <w:rsid w:val="4C1FE77F"/>
    <w:rsid w:val="4C934C01"/>
    <w:rsid w:val="4CEC15F3"/>
    <w:rsid w:val="4D8E361A"/>
    <w:rsid w:val="4DB52955"/>
    <w:rsid w:val="4DBF37D4"/>
    <w:rsid w:val="4E092CA1"/>
    <w:rsid w:val="4E4F6905"/>
    <w:rsid w:val="512A18AC"/>
    <w:rsid w:val="519D5BDA"/>
    <w:rsid w:val="5272350A"/>
    <w:rsid w:val="53487DC7"/>
    <w:rsid w:val="53D27258"/>
    <w:rsid w:val="55A82D9F"/>
    <w:rsid w:val="56B807EC"/>
    <w:rsid w:val="570FF654"/>
    <w:rsid w:val="573963A5"/>
    <w:rsid w:val="57E7D571"/>
    <w:rsid w:val="584C2108"/>
    <w:rsid w:val="5ABC17C7"/>
    <w:rsid w:val="5AF54CD9"/>
    <w:rsid w:val="5C001B87"/>
    <w:rsid w:val="5C090A3C"/>
    <w:rsid w:val="5E443FAD"/>
    <w:rsid w:val="5EF429DE"/>
    <w:rsid w:val="5F3E6C4E"/>
    <w:rsid w:val="5F5521EA"/>
    <w:rsid w:val="5F694C12"/>
    <w:rsid w:val="5F7B640F"/>
    <w:rsid w:val="62015D11"/>
    <w:rsid w:val="62FE04A2"/>
    <w:rsid w:val="640B2E77"/>
    <w:rsid w:val="6429154F"/>
    <w:rsid w:val="643C1282"/>
    <w:rsid w:val="65060095"/>
    <w:rsid w:val="660B5E90"/>
    <w:rsid w:val="661029C7"/>
    <w:rsid w:val="671958AB"/>
    <w:rsid w:val="69E20B1E"/>
    <w:rsid w:val="6AEF622C"/>
    <w:rsid w:val="6C9F3F25"/>
    <w:rsid w:val="6EBA7973"/>
    <w:rsid w:val="6EF72976"/>
    <w:rsid w:val="6F678AAD"/>
    <w:rsid w:val="6FFB8DD1"/>
    <w:rsid w:val="6FFBF701"/>
    <w:rsid w:val="7141612A"/>
    <w:rsid w:val="717C1E1E"/>
    <w:rsid w:val="727DD38F"/>
    <w:rsid w:val="733820FE"/>
    <w:rsid w:val="73EF00BF"/>
    <w:rsid w:val="73F7BDAC"/>
    <w:rsid w:val="745919DD"/>
    <w:rsid w:val="75BA57F1"/>
    <w:rsid w:val="75F0C4F6"/>
    <w:rsid w:val="76283D5C"/>
    <w:rsid w:val="76F05949"/>
    <w:rsid w:val="770C2D36"/>
    <w:rsid w:val="77BD0211"/>
    <w:rsid w:val="77D731D5"/>
    <w:rsid w:val="77F63006"/>
    <w:rsid w:val="79751453"/>
    <w:rsid w:val="7A5E1AFB"/>
    <w:rsid w:val="7A5FDBF0"/>
    <w:rsid w:val="7A913DEC"/>
    <w:rsid w:val="7A931352"/>
    <w:rsid w:val="7AF7DE56"/>
    <w:rsid w:val="7BEF3E8C"/>
    <w:rsid w:val="7BFA5DDB"/>
    <w:rsid w:val="7DDB8713"/>
    <w:rsid w:val="7DF370C5"/>
    <w:rsid w:val="7E5FAD8A"/>
    <w:rsid w:val="7F431716"/>
    <w:rsid w:val="7FAD0DB1"/>
    <w:rsid w:val="8F6D1773"/>
    <w:rsid w:val="96D3E98E"/>
    <w:rsid w:val="9F7BB7B2"/>
    <w:rsid w:val="AF775311"/>
    <w:rsid w:val="B7BEA3AB"/>
    <w:rsid w:val="BA375EDB"/>
    <w:rsid w:val="BFBF2ED4"/>
    <w:rsid w:val="C6FCD218"/>
    <w:rsid w:val="CBFE89FD"/>
    <w:rsid w:val="D7DF117E"/>
    <w:rsid w:val="D7FFBEFB"/>
    <w:rsid w:val="D9F98329"/>
    <w:rsid w:val="DA9FDC71"/>
    <w:rsid w:val="DABB6D87"/>
    <w:rsid w:val="DCC5C8ED"/>
    <w:rsid w:val="DDD7751B"/>
    <w:rsid w:val="E4B18D23"/>
    <w:rsid w:val="EBF909CF"/>
    <w:rsid w:val="EBFD7941"/>
    <w:rsid w:val="EF7D7512"/>
    <w:rsid w:val="EFAF5D91"/>
    <w:rsid w:val="F3F50B87"/>
    <w:rsid w:val="F6B7E848"/>
    <w:rsid w:val="F7FC4D2F"/>
    <w:rsid w:val="FBFFBB94"/>
    <w:rsid w:val="FE61CE08"/>
    <w:rsid w:val="FEEA4A01"/>
    <w:rsid w:val="FF2DC64B"/>
    <w:rsid w:val="FFFD438F"/>
    <w:rsid w:val="FFFE24A6"/>
    <w:rsid w:val="FFFEC525"/>
    <w:rsid w:val="FFFF0B91"/>
    <w:rsid w:val="FFFF7A8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pPr>
      <w:autoSpaceDE w:val="0"/>
      <w:autoSpaceDN w:val="0"/>
      <w:adjustRightInd w:val="0"/>
      <w:snapToGrid w:val="0"/>
      <w:spacing w:line="588" w:lineRule="atLeast"/>
    </w:pPr>
    <w:rPr>
      <w:rFonts w:ascii="宋体" w:hAnsi="宋体" w:eastAsia="仿宋_GB2312"/>
      <w:spacing w:val="-2"/>
      <w:kern w:val="0"/>
      <w:sz w:val="24"/>
      <w:szCs w:val="20"/>
    </w:rPr>
  </w:style>
  <w:style w:type="paragraph" w:styleId="4">
    <w:name w:val="footer"/>
    <w:basedOn w:val="1"/>
    <w:qFormat/>
    <w:uiPriority w:val="0"/>
    <w:pPr>
      <w:tabs>
        <w:tab w:val="center" w:pos="4153"/>
        <w:tab w:val="right" w:pos="8306"/>
      </w:tabs>
      <w:snapToGrid w:val="0"/>
      <w:jc w:val="left"/>
    </w:pPr>
    <w:rPr>
      <w:rFonts w:eastAsia="宋体"/>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unhideWhenUsed/>
    <w:qFormat/>
    <w:uiPriority w:val="0"/>
    <w:pPr>
      <w:widowControl w:val="0"/>
      <w:spacing w:beforeLines="0" w:afterLines="0"/>
      <w:jc w:val="both"/>
    </w:pPr>
    <w:rPr>
      <w:rFonts w:hint="default" w:ascii="Times New Roman" w:hAnsi="Times New Roman" w:eastAsia="仿宋_GB2312" w:cs="Times New Roman"/>
      <w:kern w:val="2"/>
      <w:sz w:val="24"/>
      <w:szCs w:val="24"/>
      <w:lang w:val="en-US" w:eastAsia="zh-CN" w:bidi="ar-SA"/>
    </w:rPr>
  </w:style>
  <w:style w:type="character" w:styleId="10">
    <w:name w:val="Hyperlink"/>
    <w:qFormat/>
    <w:uiPriority w:val="0"/>
    <w:rPr>
      <w:color w:val="0000FF"/>
      <w:u w:val="single"/>
    </w:rPr>
  </w:style>
  <w:style w:type="paragraph" w:customStyle="1" w:styleId="11">
    <w:name w:val="样式1"/>
    <w:basedOn w:val="1"/>
    <w:qFormat/>
    <w:uiPriority w:val="0"/>
    <w:rPr>
      <w:rFonts w:ascii="仿宋_GB2312" w:eastAsia="仿宋_GB2312"/>
      <w:sz w:val="28"/>
    </w:rPr>
  </w:style>
  <w:style w:type="paragraph" w:customStyle="1" w:styleId="12">
    <w:name w:val="Body text|1"/>
    <w:basedOn w:val="1"/>
    <w:qFormat/>
    <w:uiPriority w:val="0"/>
    <w:pPr>
      <w:spacing w:line="442" w:lineRule="auto"/>
      <w:ind w:firstLine="400"/>
    </w:pPr>
    <w:rPr>
      <w:rFonts w:ascii="宋体" w:hAnsi="宋体" w:eastAsia="宋体" w:cs="宋体"/>
      <w:color w:val="auto"/>
      <w:kern w:val="2"/>
      <w:sz w:val="30"/>
      <w:szCs w:val="30"/>
      <w:lang w:val="zh-TW" w:eastAsia="zh-TW" w:bidi="zh-TW"/>
    </w:rPr>
  </w:style>
  <w:style w:type="character" w:customStyle="1" w:styleId="13">
    <w:name w:val="font01"/>
    <w:basedOn w:val="9"/>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4105</Words>
  <Characters>4312</Characters>
  <Lines>0</Lines>
  <Paragraphs>0</Paragraphs>
  <TotalTime>0</TotalTime>
  <ScaleCrop>false</ScaleCrop>
  <LinksUpToDate>false</LinksUpToDate>
  <CharactersWithSpaces>4351</CharactersWithSpaces>
  <Application>WPS Office_12.8.2.20327_F1E327BC-269C-435d-A152-05C5408002CA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2022-06-16T16:52:00Z</dcterms:created>
  <dc:creator>yandh01</dc:creator>
  <cp:lastModifiedBy>wjw</cp:lastModifiedBy>
  <dcterms:modified xsi:type="dcterms:W3CDTF">2025-08-15T15:27:57Z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2052-12.8.2.20327</vt:lpwstr>
  </property>
  <property fmtid="{D5CDD505-2E9C-101B-9397-08002B2CF9AE}" pid="3" name="ICV">
    <vt:lpwstr>411DF4B60EE9B423AC659C688AFB3660_43</vt:lpwstr>
  </property>
  <property fmtid="{D5CDD505-2E9C-101B-9397-08002B2CF9AE}" pid="4" name="KSOTemplateDocerSaveRecord">
    <vt:lpwstr>eyJoZGlkIjoiZTc4NGM2YWEyZjJjMWI4N2I0NDc4ZGMwMmJkNmY0MDYiLCJ1c2VySWQiOiI1OTI4NTA4NDUifQ==</vt:lpwstr>
  </property>
</Properties>
</file>