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12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974"/>
        <w:gridCol w:w="5"/>
        <w:gridCol w:w="1043"/>
        <w:gridCol w:w="152"/>
        <w:gridCol w:w="1201"/>
        <w:gridCol w:w="797"/>
        <w:gridCol w:w="951"/>
        <w:gridCol w:w="299"/>
        <w:gridCol w:w="801"/>
        <w:gridCol w:w="280"/>
        <w:gridCol w:w="303"/>
        <w:gridCol w:w="682"/>
        <w:gridCol w:w="236"/>
        <w:gridCol w:w="1013"/>
      </w:tblGrid>
      <w:tr w14:paraId="5452C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944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6"/>
                <w:szCs w:val="36"/>
                <w:u w:val="none"/>
              </w:rPr>
            </w:pPr>
            <mc:AlternateContent>
              <mc:Choice Requires="wpsCustomData">
                <wpsCustomData:docfieldStart id="0" docfieldname="Content" hidden="0" print="1" readonly="0" index="3"/>
              </mc:Choice>
            </mc:AlternateContent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中央对地方转移支付项目绩效自评表</w:t>
            </w:r>
          </w:p>
        </w:tc>
      </w:tr>
      <w:tr w14:paraId="35F65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4A9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lang w:val="en-US" w:eastAsia="zh-CN" w:bidi="ar"/>
              </w:rPr>
              <w:t>（</w:t>
            </w:r>
            <w:r>
              <w:rPr>
                <w:rStyle w:val="9"/>
                <w:rFonts w:eastAsia="等线"/>
                <w:lang w:val="en-US" w:eastAsia="zh-CN" w:bidi="ar"/>
              </w:rPr>
              <w:t>2024</w:t>
            </w:r>
            <w:r>
              <w:rPr>
                <w:rStyle w:val="8"/>
                <w:lang w:val="en-US" w:eastAsia="zh-CN" w:bidi="ar"/>
              </w:rPr>
              <w:t>年度）</w:t>
            </w:r>
          </w:p>
        </w:tc>
      </w:tr>
      <w:tr w14:paraId="4ACC3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D5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4175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0D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基本药物制度补助资金</w:t>
            </w:r>
          </w:p>
        </w:tc>
      </w:tr>
      <w:tr w14:paraId="25CFC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E0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4175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A0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国家卫生健康委员会</w:t>
            </w:r>
          </w:p>
        </w:tc>
      </w:tr>
      <w:tr w14:paraId="7AF41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8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83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地方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主管部门</w:t>
            </w:r>
          </w:p>
        </w:tc>
        <w:tc>
          <w:tcPr>
            <w:tcW w:w="129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2C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宁夏回族自治区卫生健康委</w:t>
            </w:r>
          </w:p>
        </w:tc>
        <w:tc>
          <w:tcPr>
            <w:tcW w:w="11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81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资金使用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单位</w:t>
            </w:r>
          </w:p>
        </w:tc>
        <w:tc>
          <w:tcPr>
            <w:tcW w:w="178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E3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各市、县</w:t>
            </w: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（区）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卫生健康委（局），宁东管委会社会事务局</w:t>
            </w:r>
          </w:p>
        </w:tc>
      </w:tr>
      <w:tr w14:paraId="1A992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82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A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资金投入情况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（万元）</w:t>
            </w: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D5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90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全年预算数（A）</w:t>
            </w:r>
          </w:p>
        </w:tc>
        <w:tc>
          <w:tcPr>
            <w:tcW w:w="11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B4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全年执行数（B）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766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分值</w:t>
            </w:r>
          </w:p>
        </w:tc>
        <w:tc>
          <w:tcPr>
            <w:tcW w:w="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48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预算执行率（B/A×100%)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E1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得分</w:t>
            </w:r>
          </w:p>
        </w:tc>
      </w:tr>
      <w:tr w14:paraId="6DB6A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A3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A1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年度资金总额：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9F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6072</w:t>
            </w:r>
          </w:p>
        </w:tc>
        <w:tc>
          <w:tcPr>
            <w:tcW w:w="11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6F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  <w:t>5972.291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59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A0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98.36%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0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05B25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24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71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BF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其中：</w:t>
            </w: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中央财政资金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9E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6072</w:t>
            </w:r>
          </w:p>
        </w:tc>
        <w:tc>
          <w:tcPr>
            <w:tcW w:w="11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FB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  <w:t>5972.291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D5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4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98.36%</w:t>
            </w: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A5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 w14:paraId="6CF5E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54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14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自治区财政资金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FB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CC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EE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B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48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ECE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A7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85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地方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资金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BE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07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5F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99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E6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5E5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B8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1C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其他资金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20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D6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D9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7B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78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ABF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3B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资金管理情况</w:t>
            </w: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C4D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8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3B57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情况说明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7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0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存在问题和改进措施</w:t>
            </w:r>
          </w:p>
        </w:tc>
      </w:tr>
      <w:tr w14:paraId="4081F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D3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174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分配科学性</w:t>
            </w:r>
          </w:p>
        </w:tc>
        <w:tc>
          <w:tcPr>
            <w:tcW w:w="2328" w:type="pct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097A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分配科学合理，</w:t>
            </w: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自治区按照“突出改革、转变机制，注重实效、激励先进，绩效考核、量效挂钩”的原则，按因素法分配2024年度补助资金，人口因素、脱贫地区倾斜因素、绩效因素各占89%、4%、7%。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8D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1982A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C2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466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下达及时性</w:t>
            </w:r>
          </w:p>
        </w:tc>
        <w:tc>
          <w:tcPr>
            <w:tcW w:w="2328" w:type="pct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960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下达及时，</w:t>
            </w: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第一批补助资金于2023年12月通过宁财（社）指标〔2023〕818号文件提前下达各县（市、区），结算资金于2024年6月通过宁财（社）指标〔2024〕198号文件拨付。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03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037DF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A0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032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拨付合规性</w:t>
            </w:r>
          </w:p>
        </w:tc>
        <w:tc>
          <w:tcPr>
            <w:tcW w:w="2328" w:type="pct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5D0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拨付合规，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资金的拨付的额度是与资金指标文件或分配文件相匹配</w:t>
            </w: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11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5C6C8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CF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175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使用规范性</w:t>
            </w:r>
          </w:p>
        </w:tc>
        <w:tc>
          <w:tcPr>
            <w:tcW w:w="2328" w:type="pct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097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严格按照《基本药物制度补助资金管理办法》规定，拨付给基层医疗卫生机构的转移支付资金，由其作为实施基本药物制度的收入补助，按照《基层医疗卫生机构财务制度》（财社〔2010〕307号）有关规定使用，不得用于基本建设、大型设备购置。拨付给村卫生室的转移支付资金，主要用于乡村医生的收入补助。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CD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07D2C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49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AA3D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执行准确性</w:t>
            </w:r>
          </w:p>
        </w:tc>
        <w:tc>
          <w:tcPr>
            <w:tcW w:w="2328" w:type="pct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2DF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资金支出的财权与事权相匹配，资金的支出对象符合资金管理办法的要求。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C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17A51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D1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83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预算绩效管理情况</w:t>
            </w:r>
          </w:p>
        </w:tc>
        <w:tc>
          <w:tcPr>
            <w:tcW w:w="232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59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事前印发方案</w:t>
            </w: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、事中绩效监控、事后绩效评价。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4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12DEF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A7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4E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支出责任履行情况</w:t>
            </w:r>
          </w:p>
        </w:tc>
        <w:tc>
          <w:tcPr>
            <w:tcW w:w="232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CB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1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资金执行进度与项目实施进展相匹配。</w:t>
            </w:r>
          </w:p>
        </w:tc>
        <w:tc>
          <w:tcPr>
            <w:tcW w:w="120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CF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1217A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80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总体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完成情况</w:t>
            </w:r>
          </w:p>
        </w:tc>
        <w:tc>
          <w:tcPr>
            <w:tcW w:w="224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F5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总体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目标</w:t>
            </w:r>
          </w:p>
        </w:tc>
        <w:tc>
          <w:tcPr>
            <w:tcW w:w="245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12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全年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实际完成情况</w:t>
            </w:r>
          </w:p>
        </w:tc>
      </w:tr>
      <w:tr w14:paraId="09653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BF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4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D3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1.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基层医疗卫生机构按要求实施基本药物制度。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2.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基本药物制度在村卫生室顺利实施。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3.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基层医疗卫生机构服务质量进一步提高。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4.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紧密型医共体等基层卫生综合改革在县域内稳步推进。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 xml:space="preserve">              </w:t>
            </w:r>
          </w:p>
        </w:tc>
        <w:tc>
          <w:tcPr>
            <w:tcW w:w="245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AD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1.落实国家和自治区基本药物政策，全区所有政府办基层医疗卫生机构（含村卫生室）全部实施国家基本药物制度，覆盖率达到100%，推进综合改革顺利进行。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2.紧密型医共体等基层卫生综合改革在县域内稳步推进，基层医疗卫生机构服务质量进一步提高，群众对基本药物补助制度满意度进一步提高。</w:t>
            </w:r>
          </w:p>
        </w:tc>
      </w:tr>
      <w:tr w14:paraId="5046C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FC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绩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效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指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标</w:t>
            </w: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78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5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EB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F3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A4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EC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全年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实际完成值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53B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分值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11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00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未完成原因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和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改进措施</w:t>
            </w:r>
          </w:p>
        </w:tc>
      </w:tr>
      <w:tr w14:paraId="3B6B0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0D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AA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产出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指标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（</w:t>
            </w:r>
            <w:r>
              <w:rPr>
                <w:rStyle w:val="12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7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0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分）</w:t>
            </w:r>
          </w:p>
        </w:tc>
        <w:tc>
          <w:tcPr>
            <w:tcW w:w="5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15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B5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实施基本药物制度的政府办基层医疗卫生机构占比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B5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=100%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8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CA9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B3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B6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0ECFE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AC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0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F1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6A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实施基本药物制度的村卫生室占比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3F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=100%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76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68B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E2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4E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7457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B2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4C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87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E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基层医疗卫生机构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“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优质服务基层行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”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活动开展评价机构数比例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D9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4F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FAF3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62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E2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3E3A7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2A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E4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CB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E7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基本医疗卫生机构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“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优质服务基层行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”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活动达到</w:t>
            </w: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基本标准及以上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的比例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7F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较上年度有提高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A6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88.2%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05C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88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08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3B1F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12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8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9C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AC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default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基本药物制度在基层持续实施时间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D4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=整个项目期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A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整个项目期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9A07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1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CEA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E451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65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472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BF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A9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资金投入数量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D8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Cs w:val="21"/>
                <w:lang w:val="en-US" w:eastAsia="zh-CN" w:bidi="ar"/>
              </w:rPr>
            </w:pPr>
            <w:r>
              <w:rPr>
                <w:rStyle w:val="8"/>
                <w:rFonts w:hint="default" w:ascii="方正仿宋_GBK" w:hAnsi="方正仿宋_GBK" w:cs="方正仿宋_GBK"/>
                <w:sz w:val="21"/>
                <w:szCs w:val="21"/>
                <w:lang w:val="en-US" w:eastAsia="zh-CN" w:bidi="ar"/>
              </w:rPr>
              <w:t>=当年度财政拨款数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DB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6072</w:t>
            </w: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B0D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03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D519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27612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9A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C8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效益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指标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（</w:t>
            </w:r>
            <w:r>
              <w:rPr>
                <w:rStyle w:val="12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1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0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分）</w:t>
            </w:r>
          </w:p>
        </w:tc>
        <w:tc>
          <w:tcPr>
            <w:tcW w:w="563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D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社会效益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76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达到</w:t>
            </w:r>
            <w:r>
              <w:rPr>
                <w:rStyle w:val="8"/>
                <w:rFonts w:hint="default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“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紧密型</w:t>
            </w:r>
            <w:r>
              <w:rPr>
                <w:rStyle w:val="8"/>
                <w:rFonts w:hint="default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”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医供体</w:t>
            </w: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的比例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EE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70%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25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78.6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F8B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6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EF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259AE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3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79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BA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满意度指标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（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10</w:t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分）</w:t>
            </w:r>
          </w:p>
        </w:tc>
        <w:tc>
          <w:tcPr>
            <w:tcW w:w="5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25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服务对象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满意度</w:t>
            </w:r>
            <w:r>
              <w:rPr>
                <w:rStyle w:val="12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11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29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 w:bidi="ar"/>
              </w:rPr>
              <w:t>基层医疗卫生机构满意度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1B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≥80%</w:t>
            </w:r>
          </w:p>
        </w:tc>
        <w:tc>
          <w:tcPr>
            <w:tcW w:w="5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E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C69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C21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2E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957D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2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3E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说</w:t>
            </w: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cs="方正仿宋_GBK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明</w:t>
            </w:r>
          </w:p>
        </w:tc>
        <w:tc>
          <w:tcPr>
            <w:tcW w:w="4172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EE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634E7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3961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3D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Style w:val="8"/>
                <w:rFonts w:hint="eastAsia" w:ascii="方正仿宋_GBK" w:hAnsi="方正仿宋_GBK" w:cs="方正仿宋_GBK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方正仿宋_GBK" w:hAnsi="方正仿宋_GBK" w:cs="方正仿宋_GBK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总</w:t>
            </w:r>
            <w:r>
              <w:rPr>
                <w:rFonts w:hint="eastAsia" w:ascii="方正仿宋_GBK" w:hAnsi="方正仿宋_GBK" w:cs="方正仿宋_GBK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cs="方正仿宋_GBK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分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E4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Style w:val="8"/>
                <w:rFonts w:hint="default" w:ascii="方正仿宋_GBK" w:hAnsi="方正仿宋_GBK" w:cs="方正仿宋_GBK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Style w:val="8"/>
                <w:rFonts w:hint="eastAsia" w:ascii="方正仿宋_GBK" w:hAnsi="方正仿宋_GBK" w:cs="方正仿宋_GBK"/>
                <w:b/>
                <w:bCs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6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B32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rPr>
                <w:rStyle w:val="8"/>
                <w:rFonts w:hint="eastAsia" w:ascii="方正仿宋_GBK" w:hAnsi="方正仿宋_GBK" w:cs="方正仿宋_GBK"/>
                <w:sz w:val="21"/>
                <w:szCs w:val="21"/>
                <w:lang w:val="en-US" w:eastAsia="zh-CN" w:bidi="ar"/>
              </w:rPr>
            </w:pPr>
          </w:p>
        </w:tc>
      </w:tr>
      <mc:AlternateContent>
        <mc:Choice Requires="wpsCustomData">
          <wpsCustomData:docfieldEnd id="0"/>
        </mc:Choice>
      </mc:AlternateContent>
    </w:tbl>
    <w:p w14:paraId="7010BA7A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titlePg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CF7D9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3420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9E3420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BFB0D">
    <w:pPr>
      <w:pStyle w:val="2"/>
      <w:framePr w:wrap="around" w:vAnchor="text" w:hAnchor="margin" w:xAlign="outside" w:y="1"/>
      <w:ind w:left="320" w:leftChars="100"/>
      <w:rPr>
        <w:rStyle w:val="7"/>
        <w:rFonts w:hint="eastAsia"/>
        <w:sz w:val="28"/>
      </w:rPr>
    </w:pPr>
    <w:r>
      <w:rPr>
        <w:rStyle w:val="7"/>
        <w:rFonts w:hint="eastAsia"/>
        <w:sz w:val="28"/>
      </w:rPr>
      <w:t xml:space="preserve">— 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 xml:space="preserve"> —</w:t>
    </w:r>
  </w:p>
  <w:p w14:paraId="5C556946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452B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C1CA8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C1CA8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685E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5BBA6"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2B09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95E67"/>
    <w:rsid w:val="110273FB"/>
    <w:rsid w:val="14D27219"/>
    <w:rsid w:val="1DBC0C53"/>
    <w:rsid w:val="26D11723"/>
    <w:rsid w:val="2F287B1A"/>
    <w:rsid w:val="3554771F"/>
    <w:rsid w:val="4C5C4D3B"/>
    <w:rsid w:val="532F4C11"/>
    <w:rsid w:val="547215A0"/>
    <w:rsid w:val="5AA95E67"/>
    <w:rsid w:val="5F0275A6"/>
    <w:rsid w:val="63C67A48"/>
    <w:rsid w:val="69995D70"/>
    <w:rsid w:val="7B3B9C45"/>
    <w:rsid w:val="BBB7AF31"/>
    <w:rsid w:val="DFBFB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font121"/>
    <w:basedOn w:val="6"/>
    <w:qFormat/>
    <w:uiPriority w:val="0"/>
    <w:rPr>
      <w:rFonts w:ascii="方正仿宋_GB2312" w:hAnsi="方正仿宋_GB2312" w:eastAsia="方正仿宋_GB2312" w:cs="方正仿宋_GB2312"/>
      <w:color w:val="000000"/>
      <w:sz w:val="24"/>
      <w:szCs w:val="24"/>
      <w:u w:val="none"/>
    </w:rPr>
  </w:style>
  <w:style w:type="character" w:customStyle="1" w:styleId="9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  <w:style w:type="character" w:customStyle="1" w:styleId="10">
    <w:name w:val="font101"/>
    <w:basedOn w:val="6"/>
    <w:qFormat/>
    <w:uiPriority w:val="0"/>
    <w:rPr>
      <w:rFonts w:hint="default" w:ascii="方正仿宋_GB2312" w:hAnsi="方正仿宋_GB2312" w:eastAsia="方正仿宋_GB2312" w:cs="方正仿宋_GB2312"/>
      <w:color w:val="000000"/>
      <w:sz w:val="24"/>
      <w:szCs w:val="24"/>
      <w:u w:val="none"/>
    </w:rPr>
  </w:style>
  <w:style w:type="character" w:customStyle="1" w:styleId="11">
    <w:name w:val="font131"/>
    <w:basedOn w:val="6"/>
    <w:qFormat/>
    <w:uiPriority w:val="0"/>
    <w:rPr>
      <w:rFonts w:hint="default" w:ascii="方正仿宋_GB2312" w:hAnsi="方正仿宋_GB2312" w:eastAsia="方正仿宋_GB2312" w:cs="方正仿宋_GB2312"/>
      <w:color w:val="000000"/>
      <w:sz w:val="24"/>
      <w:szCs w:val="24"/>
      <w:u w:val="none"/>
    </w:rPr>
  </w:style>
  <w:style w:type="character" w:customStyle="1" w:styleId="12">
    <w:name w:val="font7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3143</Words>
  <Characters>3424</Characters>
  <Lines>0</Lines>
  <Paragraphs>0</Paragraphs>
  <TotalTime>10</TotalTime>
  <ScaleCrop>false</ScaleCrop>
  <LinksUpToDate>false</LinksUpToDate>
  <CharactersWithSpaces>3427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2025-08-04T17:16:00Z</dcterms:created>
  <dc:creator>魏磊</dc:creator>
  <cp:lastModifiedBy>wjw</cp:lastModifiedBy>
  <dcterms:modified xsi:type="dcterms:W3CDTF">2025-08-15T15:24:16Z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6E8455EB6385481DAA5C03DD1CB725A0_11</vt:lpwstr>
  </property>
  <property fmtid="{D5CDD505-2E9C-101B-9397-08002B2CF9AE}" pid="4" name="KSOTemplateDocerSaveRecord">
    <vt:lpwstr>eyJoZGlkIjoiNzlmNzY1YTZlZDdiOWE4NWQxNjU0ODdlODEwMmUwZDIifQ==</vt:lpwstr>
  </property>
</Properties>
</file>