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中药饮片产品增值税进项税额核定扣除标准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表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tbl>
      <w:tblPr>
        <w:tblStyle w:val="3"/>
        <w:tblW w:w="8415" w:type="dxa"/>
        <w:jc w:val="center"/>
        <w:tblInd w:w="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01"/>
        <w:gridCol w:w="363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产品（每公斤）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原材料（公斤）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扣除标准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中药材（根及根茎类）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1.2859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中药材（叶类）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1.1954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中药材（果实籽仁类）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1.1964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中药材（全草类）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1.2447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中药材（冷药类）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1.2923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中药材（菌藻类）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1.2838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中药材（花类）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1.3696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中药材（藤木类）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1.3317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中药材（动物类）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1.2998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中药材（加工类）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1.4257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中药材（矿物类）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1.4404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中药材（植物皮类）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1.3199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中药材（树脂类）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1.3474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中药饮片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中药材（其他类）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1.4517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A1B91"/>
    <w:rsid w:val="092A52A6"/>
    <w:rsid w:val="11AB4BEF"/>
    <w:rsid w:val="166329A8"/>
    <w:rsid w:val="246909AF"/>
    <w:rsid w:val="3F2A1B91"/>
    <w:rsid w:val="478F3245"/>
    <w:rsid w:val="47ED2F51"/>
    <w:rsid w:val="53022D48"/>
    <w:rsid w:val="5FA44F0E"/>
    <w:rsid w:val="626020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316</Characters>
  <Lines>0</Lines>
  <Paragraphs>0</Paragraphs>
  <ScaleCrop>false</ScaleCrop>
  <LinksUpToDate>false</LinksUpToDate>
  <CharactersWithSpaces>330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2020-03-23T03:25:00Z</dcterms:created>
  <dc:creator>杨丽(011309-011309)</dc:creator>
  <cp:lastModifiedBy>陈小萍</cp:lastModifiedBy>
  <cp:lastPrinted>2020-03-26T08:39:00Z</cp:lastPrinted>
  <dcterms:modified xsi:type="dcterms:W3CDTF">2020-05-18T10:30:47Z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