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附件</w:t>
      </w:r>
    </w:p>
    <w:p>
      <w:pPr>
        <w:snapToGrid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napToGrid w:val="0"/>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宁夏回族自治区知识产权</w:t>
      </w:r>
    </w:p>
    <w:p>
      <w:pPr>
        <w:snapToGrid w:val="0"/>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补助资金管理</w:t>
      </w:r>
      <w:r>
        <w:rPr>
          <w:rFonts w:hint="eastAsia" w:ascii="Times New Roman" w:hAnsi="Times New Roman" w:eastAsia="方正小标宋简体" w:cs="Times New Roman"/>
          <w:color w:val="000000" w:themeColor="text1"/>
          <w:sz w:val="44"/>
          <w:szCs w:val="44"/>
          <w14:textFill>
            <w14:solidFill>
              <w14:schemeClr w14:val="tx1"/>
            </w14:solidFill>
          </w14:textFill>
        </w:rPr>
        <w:t>暂行</w:t>
      </w:r>
      <w:r>
        <w:rPr>
          <w:rFonts w:ascii="Times New Roman" w:hAnsi="Times New Roman" w:eastAsia="方正小标宋简体" w:cs="Times New Roman"/>
          <w:color w:val="000000" w:themeColor="text1"/>
          <w:sz w:val="44"/>
          <w:szCs w:val="44"/>
          <w14:textFill>
            <w14:solidFill>
              <w14:schemeClr w14:val="tx1"/>
            </w14:solidFill>
          </w14:textFill>
        </w:rPr>
        <w:t>办法</w:t>
      </w:r>
    </w:p>
    <w:p>
      <w:pPr>
        <w:snapToGrid w:val="0"/>
        <w:spacing w:line="560" w:lineRule="exact"/>
        <w:jc w:val="center"/>
        <w:rPr>
          <w:rFonts w:ascii="Times New Roman" w:hAnsi="Times New Roman" w:eastAsia="仿宋_GB2312" w:cs="Times New Roman"/>
          <w:color w:val="000000" w:themeColor="text1"/>
          <w:sz w:val="32"/>
          <w:szCs w:val="32"/>
          <w14:textFill>
            <w14:solidFill>
              <w14:schemeClr w14:val="tx1"/>
            </w14:solidFill>
          </w14:textFill>
        </w:rPr>
      </w:pP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第一条</w:t>
      </w:r>
      <w:r>
        <w:rPr>
          <w:rFonts w:ascii="Times New Roman" w:hAnsi="Times New Roman" w:eastAsia="仿宋_GB2312" w:cs="Times New Roman"/>
          <w:color w:val="000000" w:themeColor="text1"/>
          <w:sz w:val="32"/>
          <w:szCs w:val="32"/>
          <w14:textFill>
            <w14:solidFill>
              <w14:schemeClr w14:val="tx1"/>
            </w14:solidFill>
          </w14:textFill>
        </w:rPr>
        <w:t xml:space="preserve"> 为了规范自治区知识产权补助专项资金管理和使用，提高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补助</w:t>
      </w:r>
      <w:r>
        <w:rPr>
          <w:rFonts w:ascii="Times New Roman" w:hAnsi="Times New Roman" w:eastAsia="仿宋_GB2312" w:cs="Times New Roman"/>
          <w:color w:val="000000" w:themeColor="text1"/>
          <w:sz w:val="32"/>
          <w:szCs w:val="32"/>
          <w14:textFill>
            <w14:solidFill>
              <w14:schemeClr w14:val="tx1"/>
            </w14:solidFill>
          </w14:textFill>
        </w:rPr>
        <w:t>资金使用效益，鼓励知识产权创造，</w:t>
      </w:r>
      <w:r>
        <w:rPr>
          <w:rFonts w:hint="eastAsia" w:ascii="Times New Roman" w:hAnsi="Times New Roman" w:eastAsia="仿宋_GB2312" w:cs="Times New Roman"/>
          <w:color w:val="000000" w:themeColor="text1"/>
          <w:sz w:val="32"/>
          <w:szCs w:val="32"/>
          <w14:textFill>
            <w14:solidFill>
              <w14:schemeClr w14:val="tx1"/>
            </w14:solidFill>
          </w14:textFill>
        </w:rPr>
        <w:t>推动</w:t>
      </w:r>
      <w:r>
        <w:rPr>
          <w:rFonts w:ascii="Times New Roman" w:hAnsi="Times New Roman" w:eastAsia="仿宋_GB2312" w:cs="Times New Roman"/>
          <w:color w:val="000000" w:themeColor="text1"/>
          <w:sz w:val="32"/>
          <w:szCs w:val="32"/>
          <w14:textFill>
            <w14:solidFill>
              <w14:schemeClr w14:val="tx1"/>
            </w14:solidFill>
          </w14:textFill>
        </w:rPr>
        <w:t>实施创新驱动战略和知识产权战略，根据《自治区党委 人民政府关于推进创新驱动战略的实施意见》（宁党发〔2017〕26号）、《自治区党委 人民政府关于深入实施创新驱动发展战略加快推进科技创新的若干意见》（宁党发〔2016〕47号）和《自治区人民政府关于财政支持自治区科技创新平台的政策意见》（宁政发〔2011〕157号）</w:t>
      </w:r>
      <w:r>
        <w:rPr>
          <w:rFonts w:hint="eastAsia" w:ascii="Times New Roman" w:hAnsi="Times New Roman" w:eastAsia="仿宋_GB2312" w:cs="Times New Roman"/>
          <w:color w:val="000000" w:themeColor="text1"/>
          <w:sz w:val="32"/>
          <w:szCs w:val="32"/>
          <w14:textFill>
            <w14:solidFill>
              <w14:schemeClr w14:val="tx1"/>
            </w14:solidFill>
          </w14:textFill>
        </w:rPr>
        <w:t>等精神</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结合我区实际，</w:t>
      </w:r>
      <w:r>
        <w:rPr>
          <w:rFonts w:ascii="Times New Roman" w:hAnsi="Times New Roman" w:eastAsia="仿宋_GB2312" w:cs="Times New Roman"/>
          <w:color w:val="000000" w:themeColor="text1"/>
          <w:sz w:val="32"/>
          <w:szCs w:val="32"/>
          <w14:textFill>
            <w14:solidFill>
              <w14:schemeClr w14:val="tx1"/>
            </w14:solidFill>
          </w14:textFill>
        </w:rPr>
        <w:t>制定本</w:t>
      </w:r>
      <w:r>
        <w:rPr>
          <w:rFonts w:hint="eastAsia" w:ascii="Times New Roman" w:hAnsi="Times New Roman" w:eastAsia="仿宋_GB2312" w:cs="Times New Roman"/>
          <w:color w:val="000000" w:themeColor="text1"/>
          <w:sz w:val="32"/>
          <w:szCs w:val="32"/>
          <w14:textFill>
            <w14:solidFill>
              <w14:schemeClr w14:val="tx1"/>
            </w14:solidFill>
          </w14:textFill>
        </w:rPr>
        <w:t>办</w:t>
      </w:r>
      <w:r>
        <w:rPr>
          <w:rFonts w:ascii="Times New Roman" w:hAnsi="Times New Roman" w:eastAsia="仿宋_GB2312" w:cs="Times New Roman"/>
          <w:color w:val="000000" w:themeColor="text1"/>
          <w:sz w:val="32"/>
          <w:szCs w:val="32"/>
          <w14:textFill>
            <w14:solidFill>
              <w14:schemeClr w14:val="tx1"/>
            </w14:solidFill>
          </w14:textFill>
        </w:rPr>
        <w:t>法。</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第二条</w:t>
      </w:r>
      <w:r>
        <w:rPr>
          <w:rFonts w:ascii="Times New Roman" w:hAnsi="Times New Roman" w:eastAsia="仿宋_GB2312" w:cs="Times New Roman"/>
          <w:color w:val="000000" w:themeColor="text1"/>
          <w:sz w:val="32"/>
          <w:szCs w:val="32"/>
          <w14:textFill>
            <w14:solidFill>
              <w14:schemeClr w14:val="tx1"/>
            </w14:solidFill>
          </w14:textFill>
        </w:rPr>
        <w:t xml:space="preserve"> 本办法所指自治区知识产权补助资金，是指由自治区财政预算安排，对我区企</w:t>
      </w:r>
      <w:r>
        <w:rPr>
          <w:rFonts w:hint="eastAsia" w:ascii="Times New Roman" w:hAnsi="Times New Roman" w:eastAsia="仿宋_GB2312" w:cs="Times New Roman"/>
          <w:color w:val="000000" w:themeColor="text1"/>
          <w:sz w:val="32"/>
          <w:szCs w:val="32"/>
          <w14:textFill>
            <w14:solidFill>
              <w14:schemeClr w14:val="tx1"/>
            </w14:solidFill>
          </w14:textFill>
        </w:rPr>
        <w:t>业、</w:t>
      </w:r>
      <w:r>
        <w:rPr>
          <w:rFonts w:ascii="Times New Roman" w:hAnsi="Times New Roman" w:eastAsia="仿宋_GB2312" w:cs="Times New Roman"/>
          <w:color w:val="000000" w:themeColor="text1"/>
          <w:sz w:val="32"/>
          <w:szCs w:val="32"/>
          <w14:textFill>
            <w14:solidFill>
              <w14:schemeClr w14:val="tx1"/>
            </w14:solidFill>
          </w14:textFill>
        </w:rPr>
        <w:t>事业单位</w:t>
      </w:r>
      <w:r>
        <w:rPr>
          <w:rFonts w:hint="eastAsia" w:ascii="Times New Roman" w:hAnsi="Times New Roman" w:eastAsia="仿宋_GB2312" w:cs="Times New Roman"/>
          <w:color w:val="000000" w:themeColor="text1"/>
          <w:sz w:val="32"/>
          <w:szCs w:val="32"/>
          <w14:textFill>
            <w14:solidFill>
              <w14:schemeClr w14:val="tx1"/>
            </w14:solidFill>
          </w14:textFill>
        </w:rPr>
        <w:t>、社会团体</w:t>
      </w:r>
      <w:bookmarkStart w:id="0" w:name="_Hlk19643772"/>
      <w:r>
        <w:rPr>
          <w:rFonts w:hint="eastAsia" w:ascii="Times New Roman" w:hAnsi="Times New Roman" w:eastAsia="仿宋_GB2312" w:cs="Times New Roman"/>
          <w:color w:val="000000" w:themeColor="text1"/>
          <w:sz w:val="32"/>
          <w:szCs w:val="32"/>
          <w14:textFill>
            <w14:solidFill>
              <w14:schemeClr w14:val="tx1"/>
            </w14:solidFill>
          </w14:textFill>
        </w:rPr>
        <w:t>和</w:t>
      </w:r>
      <w:r>
        <w:rPr>
          <w:rFonts w:ascii="Times New Roman" w:hAnsi="Times New Roman" w:eastAsia="仿宋_GB2312" w:cs="Times New Roman"/>
          <w:color w:val="000000" w:themeColor="text1"/>
          <w:sz w:val="32"/>
          <w:szCs w:val="32"/>
          <w14:textFill>
            <w14:solidFill>
              <w14:schemeClr w14:val="tx1"/>
            </w14:solidFill>
          </w14:textFill>
        </w:rPr>
        <w:t>科技创新平台依托单位</w:t>
      </w:r>
      <w:bookmarkEnd w:id="0"/>
      <w:r>
        <w:rPr>
          <w:rFonts w:ascii="Times New Roman" w:hAnsi="Times New Roman" w:eastAsia="仿宋_GB2312" w:cs="Times New Roman"/>
          <w:color w:val="000000" w:themeColor="text1"/>
          <w:sz w:val="32"/>
          <w:szCs w:val="32"/>
          <w14:textFill>
            <w14:solidFill>
              <w14:schemeClr w14:val="tx1"/>
            </w14:solidFill>
          </w14:textFill>
        </w:rPr>
        <w:t>申请并获得授权的发明专利、高价值发明专利、中国专利奖获奖项目、马德里注册商标、地理标志、驰名商标、知识产权示范（或优势、试点）及通过知识产权管理体系认证给予补助的专项资金</w:t>
      </w:r>
      <w:r>
        <w:rPr>
          <w:rFonts w:ascii="Times New Roman" w:hAnsi="Times New Roman" w:eastAsia="宋体" w:cs="Times New Roman"/>
          <w:color w:val="000000" w:themeColor="text1"/>
          <w:kern w:val="0"/>
          <w:sz w:val="32"/>
          <w:szCs w:val="32"/>
          <w14:textFill>
            <w14:solidFill>
              <w14:schemeClr w14:val="tx1"/>
            </w14:solidFill>
          </w14:textFill>
        </w:rPr>
        <w:t>。</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第三条 </w:t>
      </w:r>
      <w:r>
        <w:rPr>
          <w:rFonts w:ascii="Times New Roman" w:hAnsi="Times New Roman" w:eastAsia="仿宋_GB2312" w:cs="Times New Roman"/>
          <w:color w:val="000000" w:themeColor="text1"/>
          <w:sz w:val="32"/>
          <w:szCs w:val="32"/>
          <w14:textFill>
            <w14:solidFill>
              <w14:schemeClr w14:val="tx1"/>
            </w14:solidFill>
          </w14:textFill>
        </w:rPr>
        <w:t>专项资金的管理和使用坚持“统筹兼顾、公开透明、择优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扶持</w:t>
      </w:r>
      <w:r>
        <w:rPr>
          <w:rFonts w:ascii="Times New Roman" w:hAnsi="Times New Roman" w:eastAsia="仿宋_GB2312" w:cs="Times New Roman"/>
          <w:color w:val="000000" w:themeColor="text1"/>
          <w:sz w:val="32"/>
          <w:szCs w:val="32"/>
          <w14:textFill>
            <w14:solidFill>
              <w14:schemeClr w14:val="tx1"/>
            </w14:solidFill>
          </w14:textFill>
        </w:rPr>
        <w:t>、总额控制”的原则，优先补助科技创新平台依托单位、国家及自治区知识产权示范（或优势、试点）</w:t>
      </w:r>
      <w:r>
        <w:rPr>
          <w:rFonts w:hint="eastAsia" w:ascii="Times New Roman" w:hAnsi="Times New Roman" w:eastAsia="仿宋_GB2312" w:cs="Times New Roman"/>
          <w:color w:val="000000" w:themeColor="text1"/>
          <w:sz w:val="32"/>
          <w:szCs w:val="32"/>
          <w14:textFill>
            <w14:solidFill>
              <w14:schemeClr w14:val="tx1"/>
            </w14:solidFill>
          </w14:textFill>
        </w:rPr>
        <w:t>单位</w:t>
      </w:r>
      <w:r>
        <w:rPr>
          <w:rFonts w:ascii="Times New Roman"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第四条</w:t>
      </w:r>
      <w:r>
        <w:rPr>
          <w:rFonts w:ascii="Times New Roman" w:hAnsi="Times New Roman" w:eastAsia="仿宋_GB2312" w:cs="Times New Roman"/>
          <w:color w:val="000000" w:themeColor="text1"/>
          <w:sz w:val="32"/>
          <w:szCs w:val="32"/>
          <w14:textFill>
            <w14:solidFill>
              <w14:schemeClr w14:val="tx1"/>
            </w14:solidFill>
          </w14:textFill>
        </w:rPr>
        <w:t xml:space="preserve"> 自治区财政厅负责预算</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批复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审核自治区市场监管厅（知识产权局）资金</w:t>
      </w:r>
      <w:r>
        <w:rPr>
          <w:rFonts w:hint="eastAsia" w:ascii="Times New Roman" w:hAnsi="Times New Roman" w:eastAsia="仿宋_GB2312" w:cs="Times New Roman"/>
          <w:color w:val="000000" w:themeColor="text1"/>
          <w:sz w:val="32"/>
          <w:szCs w:val="32"/>
          <w14:textFill>
            <w14:solidFill>
              <w14:schemeClr w14:val="tx1"/>
            </w14:solidFill>
          </w14:textFill>
        </w:rPr>
        <w:t>分配方案</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并按程序进行</w:t>
      </w:r>
      <w:r>
        <w:rPr>
          <w:rFonts w:ascii="Times New Roman" w:hAnsi="Times New Roman" w:eastAsia="仿宋_GB2312" w:cs="Times New Roman"/>
          <w:color w:val="000000" w:themeColor="text1"/>
          <w:sz w:val="32"/>
          <w:szCs w:val="32"/>
          <w14:textFill>
            <w14:solidFill>
              <w14:schemeClr w14:val="tx1"/>
            </w14:solidFill>
          </w14:textFill>
        </w:rPr>
        <w:t>资金拨付</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自治区市场监管厅（知识产权局）</w:t>
      </w:r>
      <w:r>
        <w:rPr>
          <w:rFonts w:hint="eastAsia" w:ascii="Times New Roman" w:hAnsi="Times New Roman" w:eastAsia="仿宋_GB2312" w:cs="Times New Roman"/>
          <w:color w:val="000000" w:themeColor="text1"/>
          <w:sz w:val="32"/>
          <w:szCs w:val="32"/>
          <w14:textFill>
            <w14:solidFill>
              <w14:schemeClr w14:val="tx1"/>
            </w14:solidFill>
          </w14:textFill>
        </w:rPr>
        <w:t>负责项目的预算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编制</w:t>
      </w:r>
      <w:r>
        <w:rPr>
          <w:rFonts w:hint="eastAsia" w:ascii="Times New Roman" w:hAnsi="Times New Roman" w:eastAsia="仿宋_GB2312" w:cs="Times New Roman"/>
          <w:color w:val="000000" w:themeColor="text1"/>
          <w:sz w:val="32"/>
          <w:szCs w:val="32"/>
          <w14:textFill>
            <w14:solidFill>
              <w14:schemeClr w14:val="tx1"/>
            </w14:solidFill>
          </w14:textFill>
        </w:rPr>
        <w:t>、绩效管理，</w:t>
      </w:r>
      <w:r>
        <w:rPr>
          <w:rFonts w:ascii="Times New Roman" w:hAnsi="Times New Roman" w:eastAsia="仿宋_GB2312" w:cs="Times New Roman"/>
          <w:color w:val="000000" w:themeColor="text1"/>
          <w:sz w:val="32"/>
          <w:szCs w:val="32"/>
          <w14:textFill>
            <w14:solidFill>
              <w14:schemeClr w14:val="tx1"/>
            </w14:solidFill>
          </w14:textFill>
        </w:rPr>
        <w:t>负责项目</w:t>
      </w:r>
      <w:r>
        <w:rPr>
          <w:rFonts w:hint="eastAsia" w:ascii="Times New Roman" w:hAnsi="Times New Roman" w:eastAsia="仿宋_GB2312" w:cs="Times New Roman"/>
          <w:color w:val="000000" w:themeColor="text1"/>
          <w:sz w:val="32"/>
          <w:szCs w:val="32"/>
          <w14:textFill>
            <w14:solidFill>
              <w14:schemeClr w14:val="tx1"/>
            </w14:solidFill>
          </w14:textFill>
        </w:rPr>
        <w:t>单位的</w:t>
      </w:r>
      <w:r>
        <w:rPr>
          <w:rFonts w:ascii="Times New Roman" w:hAnsi="Times New Roman" w:eastAsia="仿宋_GB2312" w:cs="Times New Roman"/>
          <w:color w:val="000000" w:themeColor="text1"/>
          <w:sz w:val="32"/>
          <w:szCs w:val="32"/>
          <w14:textFill>
            <w14:solidFill>
              <w14:schemeClr w14:val="tx1"/>
            </w14:solidFill>
          </w14:textFill>
        </w:rPr>
        <w:t>统计、审核并提出资金分配计划，负责对拟补助单位进行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w:t>
      </w:r>
      <w:r>
        <w:rPr>
          <w:rFonts w:ascii="Times New Roman" w:hAnsi="Times New Roman" w:eastAsia="仿宋_GB2312" w:cs="Times New Roman"/>
          <w:color w:val="000000" w:themeColor="text1"/>
          <w:sz w:val="32"/>
          <w:szCs w:val="32"/>
          <w14:textFill>
            <w14:solidFill>
              <w14:schemeClr w14:val="tx1"/>
            </w14:solidFill>
          </w14:textFill>
        </w:rPr>
        <w:t>公示，公示期满后向自治区财政厅申请资金拨付</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第五条 </w:t>
      </w:r>
      <w:r>
        <w:rPr>
          <w:rFonts w:ascii="Times New Roman" w:hAnsi="Times New Roman" w:eastAsia="仿宋_GB2312" w:cs="Times New Roman"/>
          <w:color w:val="000000" w:themeColor="text1"/>
          <w:sz w:val="32"/>
          <w:szCs w:val="32"/>
          <w14:textFill>
            <w14:solidFill>
              <w14:schemeClr w14:val="tx1"/>
            </w14:solidFill>
          </w14:textFill>
        </w:rPr>
        <w:t>补助对象收到的专项补助资金主要用于开展知识产权管理体系建设及知识产权创造运用保护</w:t>
      </w:r>
      <w:r>
        <w:rPr>
          <w:rFonts w:hint="eastAsia" w:ascii="Times New Roman" w:hAnsi="Times New Roman" w:eastAsia="仿宋_GB2312" w:cs="Times New Roman"/>
          <w:color w:val="000000" w:themeColor="text1"/>
          <w:sz w:val="32"/>
          <w:szCs w:val="32"/>
          <w14:textFill>
            <w14:solidFill>
              <w14:schemeClr w14:val="tx1"/>
            </w14:solidFill>
          </w14:textFill>
        </w:rPr>
        <w:t>等</w:t>
      </w:r>
      <w:r>
        <w:rPr>
          <w:rFonts w:ascii="Times New Roman"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 xml:space="preserve">第六条 </w:t>
      </w:r>
      <w:r>
        <w:rPr>
          <w:rFonts w:hint="eastAsia" w:ascii="仿宋_GB2312" w:hAnsi="Times New Roman" w:eastAsia="仿宋_GB2312" w:cs="Times New Roman"/>
          <w:color w:val="000000" w:themeColor="text1"/>
          <w:sz w:val="32"/>
          <w:szCs w:val="32"/>
          <w14:textFill>
            <w14:solidFill>
              <w14:schemeClr w14:val="tx1"/>
            </w14:solidFill>
          </w14:textFill>
        </w:rPr>
        <w:t>专项资金补助对象和补助条件如下：</w:t>
      </w:r>
    </w:p>
    <w:p>
      <w:pPr>
        <w:widowControl/>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bookmarkStart w:id="1" w:name="_Hlk19644454"/>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本办法补助对象为宁夏区内注册登记的企</w:t>
      </w:r>
      <w:r>
        <w:rPr>
          <w:rFonts w:hint="eastAsia" w:ascii="Times New Roman" w:hAnsi="Times New Roman" w:eastAsia="仿宋_GB2312" w:cs="Times New Roman"/>
          <w:color w:val="000000" w:themeColor="text1"/>
          <w:sz w:val="32"/>
          <w:szCs w:val="32"/>
          <w14:textFill>
            <w14:solidFill>
              <w14:schemeClr w14:val="tx1"/>
            </w14:solidFill>
          </w14:textFill>
        </w:rPr>
        <w:t>业、</w:t>
      </w:r>
      <w:r>
        <w:rPr>
          <w:rFonts w:ascii="Times New Roman" w:hAnsi="Times New Roman" w:eastAsia="仿宋_GB2312" w:cs="Times New Roman"/>
          <w:color w:val="000000" w:themeColor="text1"/>
          <w:sz w:val="32"/>
          <w:szCs w:val="32"/>
          <w14:textFill>
            <w14:solidFill>
              <w14:schemeClr w14:val="tx1"/>
            </w14:solidFill>
          </w14:textFill>
        </w:rPr>
        <w:t>事业单位</w:t>
      </w:r>
      <w:r>
        <w:rPr>
          <w:rFonts w:hint="eastAsia" w:ascii="Times New Roman" w:hAnsi="Times New Roman" w:eastAsia="仿宋_GB2312" w:cs="Times New Roman"/>
          <w:color w:val="000000" w:themeColor="text1"/>
          <w:sz w:val="32"/>
          <w:szCs w:val="32"/>
          <w14:textFill>
            <w14:solidFill>
              <w14:schemeClr w14:val="tx1"/>
            </w14:solidFill>
          </w14:textFill>
        </w:rPr>
        <w:t>、社会团体</w:t>
      </w:r>
      <w:r>
        <w:rPr>
          <w:rFonts w:ascii="Times New Roman" w:hAnsi="Times New Roman" w:eastAsia="仿宋_GB2312" w:cs="Times New Roman"/>
          <w:color w:val="000000" w:themeColor="text1"/>
          <w:sz w:val="32"/>
          <w:szCs w:val="32"/>
          <w14:textFill>
            <w14:solidFill>
              <w14:schemeClr w14:val="tx1"/>
            </w14:solidFill>
          </w14:textFill>
        </w:rPr>
        <w:t>及宁夏区内的其他科研院所、大专院校、国家级和自治区级科技创新平台依托单位。涉及多个权利人的专利、商标或者地理标志，以第一专利权人、共有商标代表人或者地理标志第一申请人为补助对象；不区分权利人顺序的国外专利，以专利申请时的第一申请人为补助对象。</w:t>
      </w:r>
      <w:bookmarkEnd w:id="1"/>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bookmarkStart w:id="2" w:name="_Hlk19644789"/>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获得补助的授权发明专利应当是自申请日起即为本条第一款所列补助对象的申请，专利申请授权前通过申请权转让然后获得授权的专利，应当是与企事业单位生产领域或研究领域密切相关的专利，一个补助对象名下出现多个技术领域明显不相关的专利，不予补助；专利申请授权后通过专利权转让方式获得的专利不在此专项补助范围内。</w:t>
      </w:r>
      <w:bookmarkEnd w:id="2"/>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bookmarkStart w:id="3" w:name="_Hlk19645622"/>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补助对象</w:t>
      </w:r>
      <w:r>
        <w:rPr>
          <w:rFonts w:hint="eastAsia" w:ascii="Times New Roman" w:hAnsi="Times New Roman" w:eastAsia="仿宋_GB2312" w:cs="Times New Roman"/>
          <w:color w:val="000000" w:themeColor="text1"/>
          <w:sz w:val="32"/>
          <w:szCs w:val="32"/>
          <w14:textFill>
            <w14:solidFill>
              <w14:schemeClr w14:val="tx1"/>
            </w14:solidFill>
          </w14:textFill>
        </w:rPr>
        <w:t>应</w:t>
      </w:r>
      <w:r>
        <w:rPr>
          <w:rFonts w:ascii="Times New Roman" w:hAnsi="Times New Roman" w:eastAsia="仿宋_GB2312" w:cs="Times New Roman"/>
          <w:color w:val="000000" w:themeColor="text1"/>
          <w:sz w:val="32"/>
          <w:szCs w:val="32"/>
          <w14:textFill>
            <w14:solidFill>
              <w14:schemeClr w14:val="tx1"/>
            </w14:solidFill>
          </w14:textFill>
        </w:rPr>
        <w:t>无不良信用记录且信用良好，被列入违法失信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单位</w:t>
      </w:r>
      <w:r>
        <w:rPr>
          <w:rFonts w:ascii="Times New Roman" w:hAnsi="Times New Roman" w:eastAsia="仿宋_GB2312" w:cs="Times New Roman"/>
          <w:color w:val="000000" w:themeColor="text1"/>
          <w:sz w:val="32"/>
          <w:szCs w:val="32"/>
          <w14:textFill>
            <w14:solidFill>
              <w14:schemeClr w14:val="tx1"/>
            </w14:solidFill>
          </w14:textFill>
        </w:rPr>
        <w:t>名单、失信被执行人等“黑名单”的不能成为补助对象。</w:t>
      </w:r>
      <w:bookmarkEnd w:id="3"/>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相关授权专利、注册商标法律状态稳定，无权属和侵权纠纷。</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同一</w:t>
      </w:r>
      <w:bookmarkStart w:id="4" w:name="_Hlk25609932"/>
      <w:r>
        <w:rPr>
          <w:rFonts w:hint="eastAsia" w:ascii="Times New Roman" w:hAnsi="Times New Roman" w:eastAsia="仿宋_GB2312" w:cs="Times New Roman"/>
          <w:color w:val="000000" w:themeColor="text1"/>
          <w:sz w:val="32"/>
          <w:szCs w:val="32"/>
          <w14:textFill>
            <w14:solidFill>
              <w14:schemeClr w14:val="tx1"/>
            </w14:solidFill>
          </w14:textFill>
        </w:rPr>
        <w:t>项目各级</w:t>
      </w:r>
      <w:r>
        <w:rPr>
          <w:rFonts w:ascii="Times New Roman" w:hAnsi="Times New Roman" w:eastAsia="仿宋_GB2312" w:cs="Times New Roman"/>
          <w:color w:val="000000" w:themeColor="text1"/>
          <w:sz w:val="32"/>
          <w:szCs w:val="32"/>
          <w14:textFill>
            <w14:solidFill>
              <w14:schemeClr w14:val="tx1"/>
            </w14:solidFill>
          </w14:textFill>
        </w:rPr>
        <w:t>财政资金</w:t>
      </w:r>
      <w:bookmarkEnd w:id="4"/>
      <w:r>
        <w:rPr>
          <w:rFonts w:hint="eastAsia" w:ascii="Times New Roman" w:hAnsi="Times New Roman" w:eastAsia="仿宋_GB2312" w:cs="Times New Roman"/>
          <w:color w:val="000000" w:themeColor="text1"/>
          <w:sz w:val="32"/>
          <w:szCs w:val="32"/>
          <w14:textFill>
            <w14:solidFill>
              <w14:schemeClr w14:val="tx1"/>
            </w14:solidFill>
          </w14:textFill>
        </w:rPr>
        <w:t>不予</w:t>
      </w:r>
      <w:r>
        <w:rPr>
          <w:rFonts w:ascii="Times New Roman" w:hAnsi="Times New Roman" w:eastAsia="仿宋_GB2312" w:cs="Times New Roman"/>
          <w:color w:val="000000" w:themeColor="text1"/>
          <w:sz w:val="32"/>
          <w:szCs w:val="32"/>
          <w14:textFill>
            <w14:solidFill>
              <w14:schemeClr w14:val="tx1"/>
            </w14:solidFill>
          </w14:textFill>
        </w:rPr>
        <w:t>重复</w:t>
      </w:r>
      <w:r>
        <w:rPr>
          <w:rFonts w:hint="eastAsia" w:ascii="Times New Roman" w:hAnsi="Times New Roman" w:eastAsia="仿宋_GB2312" w:cs="Times New Roman"/>
          <w:color w:val="000000" w:themeColor="text1"/>
          <w:sz w:val="32"/>
          <w:szCs w:val="32"/>
          <w14:textFill>
            <w14:solidFill>
              <w14:schemeClr w14:val="tx1"/>
            </w14:solidFill>
          </w14:textFill>
        </w:rPr>
        <w:t>补助</w:t>
      </w:r>
      <w:r>
        <w:rPr>
          <w:rFonts w:ascii="Times New Roman"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第七条 </w:t>
      </w:r>
      <w:r>
        <w:rPr>
          <w:rFonts w:hint="eastAsia" w:ascii="仿宋_GB2312" w:hAnsi="Times New Roman" w:eastAsia="仿宋_GB2312" w:cs="Times New Roman"/>
          <w:color w:val="000000" w:themeColor="text1"/>
          <w:sz w:val="32"/>
          <w:szCs w:val="32"/>
          <w14:textFill>
            <w14:solidFill>
              <w14:schemeClr w14:val="tx1"/>
            </w14:solidFill>
          </w14:textFill>
        </w:rPr>
        <w:t>专项资金按以下</w:t>
      </w:r>
      <w:r>
        <w:rPr>
          <w:rFonts w:ascii="仿宋_GB2312" w:hAnsi="Times New Roman" w:eastAsia="仿宋_GB2312" w:cs="Times New Roman"/>
          <w:color w:val="000000" w:themeColor="text1"/>
          <w:sz w:val="32"/>
          <w:szCs w:val="32"/>
          <w14:textFill>
            <w14:solidFill>
              <w14:schemeClr w14:val="tx1"/>
            </w14:solidFill>
          </w14:textFill>
        </w:rPr>
        <w:t>标准</w:t>
      </w:r>
      <w:r>
        <w:rPr>
          <w:rFonts w:hint="eastAsia" w:ascii="仿宋_GB2312" w:hAnsi="Times New Roman" w:eastAsia="仿宋_GB2312" w:cs="Times New Roman"/>
          <w:color w:val="000000" w:themeColor="text1"/>
          <w:sz w:val="32"/>
          <w:szCs w:val="32"/>
          <w14:textFill>
            <w14:solidFill>
              <w14:schemeClr w14:val="tx1"/>
            </w14:solidFill>
          </w14:textFill>
        </w:rPr>
        <w:t>予以</w:t>
      </w:r>
      <w:r>
        <w:rPr>
          <w:rFonts w:ascii="仿宋_GB2312" w:hAnsi="Times New Roman" w:eastAsia="仿宋_GB2312" w:cs="Times New Roman"/>
          <w:color w:val="000000" w:themeColor="text1"/>
          <w:sz w:val="32"/>
          <w:szCs w:val="32"/>
          <w14:textFill>
            <w14:solidFill>
              <w14:schemeClr w14:val="tx1"/>
            </w14:solidFill>
          </w14:textFill>
        </w:rPr>
        <w:t>补助</w:t>
      </w:r>
      <w:r>
        <w:rPr>
          <w:rFonts w:hint="eastAsia" w:ascii="仿宋_GB2312"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获得国内及香港、澳门和台湾地区授权的发明专利每件补助0.5万元。</w:t>
      </w:r>
      <w:bookmarkStart w:id="5" w:name="_Hlk19871958"/>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通过专利合作条约（PCT）途径申请的发明专利，在美国、日本或者欧洲专利局获得授权的，每件补助5万元；在其他国家或者地区获得授权的，每件补助2万元</w:t>
      </w:r>
      <w:bookmarkEnd w:id="5"/>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通过PCT以外的其他途径申请的发明专利，在美国、日本或者欧洲专利局获得授权的，每件补助</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万元；在其他国家或者地区获得授权的，每件补助</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万元。</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对高价值发明专利每件给予5万元</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补助。</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获得中国专利金奖的每</w:t>
      </w:r>
      <w:r>
        <w:rPr>
          <w:rFonts w:hint="eastAsia" w:ascii="Times New Roman" w:hAnsi="Times New Roman" w:eastAsia="仿宋_GB2312" w:cs="Times New Roman"/>
          <w:color w:val="000000" w:themeColor="text1"/>
          <w:sz w:val="32"/>
          <w:szCs w:val="32"/>
          <w14:textFill>
            <w14:solidFill>
              <w14:schemeClr w14:val="tx1"/>
            </w14:solidFill>
          </w14:textFill>
        </w:rPr>
        <w:t>件</w:t>
      </w:r>
      <w:r>
        <w:rPr>
          <w:rFonts w:ascii="Times New Roman" w:hAnsi="Times New Roman" w:eastAsia="仿宋_GB2312" w:cs="Times New Roman"/>
          <w:color w:val="000000" w:themeColor="text1"/>
          <w:sz w:val="32"/>
          <w:szCs w:val="32"/>
          <w14:textFill>
            <w14:solidFill>
              <w14:schemeClr w14:val="tx1"/>
            </w14:solidFill>
          </w14:textFill>
        </w:rPr>
        <w:t>专利补助50万元，获得中国专利银奖的每</w:t>
      </w:r>
      <w:r>
        <w:rPr>
          <w:rFonts w:hint="eastAsia" w:ascii="Times New Roman" w:hAnsi="Times New Roman" w:eastAsia="仿宋_GB2312" w:cs="Times New Roman"/>
          <w:color w:val="000000" w:themeColor="text1"/>
          <w:sz w:val="32"/>
          <w:szCs w:val="32"/>
          <w14:textFill>
            <w14:solidFill>
              <w14:schemeClr w14:val="tx1"/>
            </w14:solidFill>
          </w14:textFill>
        </w:rPr>
        <w:t>件</w:t>
      </w:r>
      <w:r>
        <w:rPr>
          <w:rFonts w:ascii="Times New Roman" w:hAnsi="Times New Roman" w:eastAsia="仿宋_GB2312" w:cs="Times New Roman"/>
          <w:color w:val="000000" w:themeColor="text1"/>
          <w:sz w:val="32"/>
          <w:szCs w:val="32"/>
          <w14:textFill>
            <w14:solidFill>
              <w14:schemeClr w14:val="tx1"/>
            </w14:solidFill>
          </w14:textFill>
        </w:rPr>
        <w:t>专利补助30万元，获得中国专利优秀奖的每</w:t>
      </w:r>
      <w:r>
        <w:rPr>
          <w:rFonts w:hint="eastAsia" w:ascii="Times New Roman" w:hAnsi="Times New Roman" w:eastAsia="仿宋_GB2312" w:cs="Times New Roman"/>
          <w:color w:val="000000" w:themeColor="text1"/>
          <w:sz w:val="32"/>
          <w:szCs w:val="32"/>
          <w14:textFill>
            <w14:solidFill>
              <w14:schemeClr w14:val="tx1"/>
            </w14:solidFill>
          </w14:textFill>
        </w:rPr>
        <w:t>件</w:t>
      </w:r>
      <w:r>
        <w:rPr>
          <w:rFonts w:ascii="Times New Roman" w:hAnsi="Times New Roman" w:eastAsia="仿宋_GB2312" w:cs="Times New Roman"/>
          <w:color w:val="000000" w:themeColor="text1"/>
          <w:sz w:val="32"/>
          <w:szCs w:val="32"/>
          <w14:textFill>
            <w14:solidFill>
              <w14:schemeClr w14:val="tx1"/>
            </w14:solidFill>
          </w14:textFill>
        </w:rPr>
        <w:t>专利补助10万元。</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通过马德里体系在欧盟或者非洲知识产权组织获得注册</w:t>
      </w:r>
      <w:r>
        <w:rPr>
          <w:rFonts w:hint="eastAsia" w:ascii="Times New Roman" w:hAnsi="Times New Roman" w:eastAsia="仿宋_GB2312" w:cs="Times New Roman"/>
          <w:color w:val="000000" w:themeColor="text1"/>
          <w:sz w:val="32"/>
          <w:szCs w:val="32"/>
          <w14:textFill>
            <w14:solidFill>
              <w14:schemeClr w14:val="tx1"/>
            </w14:solidFill>
          </w14:textFill>
        </w:rPr>
        <w:t>商标</w:t>
      </w:r>
      <w:r>
        <w:rPr>
          <w:rFonts w:ascii="Times New Roman" w:hAnsi="Times New Roman" w:eastAsia="仿宋_GB2312" w:cs="Times New Roman"/>
          <w:color w:val="000000" w:themeColor="text1"/>
          <w:sz w:val="32"/>
          <w:szCs w:val="32"/>
          <w14:textFill>
            <w14:solidFill>
              <w14:schemeClr w14:val="tx1"/>
            </w14:solidFill>
          </w14:textFill>
        </w:rPr>
        <w:t>的，每件补助1万元，在其他国家或者地区获得注册</w:t>
      </w:r>
      <w:r>
        <w:rPr>
          <w:rFonts w:hint="eastAsia" w:ascii="Times New Roman" w:hAnsi="Times New Roman" w:eastAsia="仿宋_GB2312" w:cs="Times New Roman"/>
          <w:color w:val="000000" w:themeColor="text1"/>
          <w:sz w:val="32"/>
          <w:szCs w:val="32"/>
          <w14:textFill>
            <w14:solidFill>
              <w14:schemeClr w14:val="tx1"/>
            </w14:solidFill>
          </w14:textFill>
        </w:rPr>
        <w:t>商标</w:t>
      </w:r>
      <w:r>
        <w:rPr>
          <w:rFonts w:ascii="Times New Roman" w:hAnsi="Times New Roman" w:eastAsia="仿宋_GB2312" w:cs="Times New Roman"/>
          <w:color w:val="000000" w:themeColor="text1"/>
          <w:sz w:val="32"/>
          <w:szCs w:val="32"/>
          <w14:textFill>
            <w14:solidFill>
              <w14:schemeClr w14:val="tx1"/>
            </w14:solidFill>
          </w14:textFill>
        </w:rPr>
        <w:t>的，每件补助0.2万元（</w:t>
      </w:r>
      <w:bookmarkStart w:id="6" w:name="_Hlk19713772"/>
      <w:r>
        <w:rPr>
          <w:rFonts w:ascii="Times New Roman" w:hAnsi="Times New Roman" w:eastAsia="仿宋_GB2312" w:cs="Times New Roman"/>
          <w:color w:val="000000" w:themeColor="text1"/>
          <w:sz w:val="32"/>
          <w:szCs w:val="32"/>
          <w14:textFill>
            <w14:solidFill>
              <w14:schemeClr w14:val="tx1"/>
            </w14:solidFill>
          </w14:textFill>
        </w:rPr>
        <w:t>比荷卢</w:t>
      </w:r>
      <w:bookmarkEnd w:id="6"/>
      <w:r>
        <w:rPr>
          <w:rFonts w:ascii="Times New Roman" w:hAnsi="Times New Roman" w:eastAsia="仿宋_GB2312" w:cs="Times New Roman"/>
          <w:color w:val="000000" w:themeColor="text1"/>
          <w:sz w:val="32"/>
          <w:szCs w:val="32"/>
          <w14:textFill>
            <w14:solidFill>
              <w14:schemeClr w14:val="tx1"/>
            </w14:solidFill>
          </w14:textFill>
        </w:rPr>
        <w:t>按一个国家计算）。</w:t>
      </w:r>
    </w:p>
    <w:p>
      <w:pPr>
        <w:widowControl/>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bookmarkStart w:id="7" w:name="_Hlk13313613"/>
      <w:r>
        <w:rPr>
          <w:rFonts w:hint="eastAsia" w:ascii="Times New Roman" w:hAnsi="Times New Roman" w:eastAsia="仿宋_GB2312" w:cs="Times New Roman"/>
          <w:color w:val="000000" w:themeColor="text1"/>
          <w:sz w:val="32"/>
          <w:szCs w:val="32"/>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作为国内集体商标、证明商标注册的地理标志，每件补助10万元；获得地理标志产品保护的，每件补助50万元。</w:t>
      </w:r>
    </w:p>
    <w:p>
      <w:pPr>
        <w:widowControl/>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（七）</w:t>
      </w:r>
      <w:r>
        <w:rPr>
          <w:rFonts w:ascii="Times New Roman" w:hAnsi="Times New Roman" w:eastAsia="仿宋_GB2312" w:cs="Times New Roman"/>
          <w:color w:val="000000" w:themeColor="text1"/>
          <w:sz w:val="32"/>
          <w:szCs w:val="32"/>
          <w14:textFill>
            <w14:solidFill>
              <w14:schemeClr w14:val="tx1"/>
            </w14:solidFill>
          </w14:textFill>
        </w:rPr>
        <w:t>被认定为驰名商标的，每件补助5万元。</w:t>
      </w:r>
    </w:p>
    <w:p>
      <w:pPr>
        <w:widowControl/>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（八）</w:t>
      </w:r>
      <w:r>
        <w:rPr>
          <w:rFonts w:ascii="Times New Roman" w:hAnsi="Times New Roman" w:eastAsia="仿宋_GB2312" w:cs="Times New Roman"/>
          <w:color w:val="000000" w:themeColor="text1"/>
          <w:sz w:val="32"/>
          <w:szCs w:val="32"/>
          <w14:textFill>
            <w14:solidFill>
              <w14:schemeClr w14:val="tx1"/>
            </w14:solidFill>
          </w14:textFill>
        </w:rPr>
        <w:t>被认定为国家知识产权</w:t>
      </w:r>
      <w:r>
        <w:rPr>
          <w:rFonts w:hint="eastAsia" w:ascii="Times New Roman" w:hAnsi="Times New Roman" w:eastAsia="仿宋_GB2312" w:cs="Times New Roman"/>
          <w:color w:val="000000" w:themeColor="text1"/>
          <w:sz w:val="32"/>
          <w:szCs w:val="32"/>
          <w14:textFill>
            <w14:solidFill>
              <w14:schemeClr w14:val="tx1"/>
            </w14:solidFill>
          </w14:textFill>
        </w:rPr>
        <w:t>（专利）</w:t>
      </w:r>
      <w:r>
        <w:rPr>
          <w:rFonts w:ascii="Times New Roman" w:hAnsi="Times New Roman" w:eastAsia="仿宋_GB2312" w:cs="Times New Roman"/>
          <w:color w:val="000000" w:themeColor="text1"/>
          <w:sz w:val="32"/>
          <w:szCs w:val="32"/>
          <w14:textFill>
            <w14:solidFill>
              <w14:schemeClr w14:val="tx1"/>
            </w14:solidFill>
          </w14:textFill>
        </w:rPr>
        <w:t>示范的企事业单位，一次性给予20万元</w:t>
      </w:r>
      <w:r>
        <w:rPr>
          <w:rFonts w:hint="eastAsia" w:ascii="Times New Roman" w:hAnsi="Times New Roman" w:eastAsia="仿宋_GB2312" w:cs="Times New Roman"/>
          <w:color w:val="000000" w:themeColor="text1"/>
          <w:sz w:val="32"/>
          <w:szCs w:val="32"/>
          <w14:textFill>
            <w14:solidFill>
              <w14:schemeClr w14:val="tx1"/>
            </w14:solidFill>
          </w14:textFill>
        </w:rPr>
        <w:t>补助</w:t>
      </w:r>
      <w:r>
        <w:rPr>
          <w:rFonts w:ascii="Times New Roman" w:hAnsi="Times New Roman" w:eastAsia="仿宋_GB2312" w:cs="Times New Roman"/>
          <w:color w:val="000000" w:themeColor="text1"/>
          <w:sz w:val="32"/>
          <w:szCs w:val="32"/>
          <w14:textFill>
            <w14:solidFill>
              <w14:schemeClr w14:val="tx1"/>
            </w14:solidFill>
          </w14:textFill>
        </w:rPr>
        <w:t>；被认定为国家知识产权</w:t>
      </w:r>
      <w:r>
        <w:rPr>
          <w:rFonts w:hint="eastAsia" w:ascii="Times New Roman" w:hAnsi="Times New Roman" w:eastAsia="仿宋_GB2312" w:cs="Times New Roman"/>
          <w:color w:val="000000" w:themeColor="text1"/>
          <w:sz w:val="32"/>
          <w:szCs w:val="32"/>
          <w14:textFill>
            <w14:solidFill>
              <w14:schemeClr w14:val="tx1"/>
            </w14:solidFill>
          </w14:textFill>
        </w:rPr>
        <w:t>（专利）</w:t>
      </w:r>
      <w:r>
        <w:rPr>
          <w:rFonts w:ascii="Times New Roman" w:hAnsi="Times New Roman" w:eastAsia="仿宋_GB2312" w:cs="Times New Roman"/>
          <w:color w:val="000000" w:themeColor="text1"/>
          <w:sz w:val="32"/>
          <w:szCs w:val="32"/>
          <w14:textFill>
            <w14:solidFill>
              <w14:schemeClr w14:val="tx1"/>
            </w14:solidFill>
          </w14:textFill>
        </w:rPr>
        <w:t>优势（试点）的企事业单位，一次性给予15万元</w:t>
      </w:r>
      <w:r>
        <w:rPr>
          <w:rFonts w:hint="eastAsia" w:ascii="Times New Roman" w:hAnsi="Times New Roman" w:eastAsia="仿宋_GB2312" w:cs="Times New Roman"/>
          <w:color w:val="000000" w:themeColor="text1"/>
          <w:sz w:val="32"/>
          <w:szCs w:val="32"/>
          <w14:textFill>
            <w14:solidFill>
              <w14:schemeClr w14:val="tx1"/>
            </w14:solidFill>
          </w14:textFill>
        </w:rPr>
        <w:t>补助</w:t>
      </w:r>
      <w:r>
        <w:rPr>
          <w:rFonts w:ascii="Times New Roman" w:hAnsi="Times New Roman" w:eastAsia="仿宋_GB2312" w:cs="Times New Roman"/>
          <w:color w:val="000000" w:themeColor="text1"/>
          <w:sz w:val="32"/>
          <w:szCs w:val="32"/>
          <w14:textFill>
            <w14:solidFill>
              <w14:schemeClr w14:val="tx1"/>
            </w14:solidFill>
          </w14:textFill>
        </w:rPr>
        <w:t>；被认定为自治区知识产权（专利）试点的企事业单位，一次性给予10万元</w:t>
      </w:r>
      <w:r>
        <w:rPr>
          <w:rFonts w:hint="eastAsia" w:ascii="Times New Roman" w:hAnsi="Times New Roman" w:eastAsia="仿宋_GB2312" w:cs="Times New Roman"/>
          <w:color w:val="000000" w:themeColor="text1"/>
          <w:sz w:val="32"/>
          <w:szCs w:val="32"/>
          <w14:textFill>
            <w14:solidFill>
              <w14:schemeClr w14:val="tx1"/>
            </w14:solidFill>
          </w14:textFill>
        </w:rPr>
        <w:t>补助</w:t>
      </w:r>
      <w:r>
        <w:rPr>
          <w:rFonts w:ascii="Times New Roman" w:hAnsi="Times New Roman" w:eastAsia="仿宋_GB2312" w:cs="Times New Roman"/>
          <w:color w:val="000000" w:themeColor="text1"/>
          <w:sz w:val="32"/>
          <w:szCs w:val="32"/>
          <w14:textFill>
            <w14:solidFill>
              <w14:schemeClr w14:val="tx1"/>
            </w14:solidFill>
          </w14:textFill>
        </w:rPr>
        <w:t>。</w:t>
      </w:r>
    </w:p>
    <w:bookmarkEnd w:id="7"/>
    <w:p>
      <w:pPr>
        <w:widowControl/>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（九）首次</w:t>
      </w:r>
      <w:r>
        <w:rPr>
          <w:rFonts w:ascii="Times New Roman" w:hAnsi="Times New Roman" w:eastAsia="仿宋_GB2312" w:cs="Times New Roman"/>
          <w:color w:val="000000" w:themeColor="text1"/>
          <w:sz w:val="32"/>
          <w:szCs w:val="32"/>
          <w14:textFill>
            <w14:solidFill>
              <w14:schemeClr w14:val="tx1"/>
            </w14:solidFill>
          </w14:textFill>
        </w:rPr>
        <w:t>通过国家知识产权管理体系认证、且拥有</w:t>
      </w:r>
      <w:r>
        <w:rPr>
          <w:rFonts w:hint="eastAsia" w:ascii="Times New Roman" w:hAnsi="Times New Roman" w:eastAsia="仿宋_GB2312" w:cs="Times New Roman"/>
          <w:color w:val="000000" w:themeColor="text1"/>
          <w:sz w:val="32"/>
          <w:szCs w:val="32"/>
          <w14:textFill>
            <w14:solidFill>
              <w14:schemeClr w14:val="tx1"/>
            </w14:solidFill>
          </w14:textFill>
        </w:rPr>
        <w:t>至少1件</w:t>
      </w:r>
      <w:r>
        <w:rPr>
          <w:rFonts w:ascii="Times New Roman" w:hAnsi="Times New Roman" w:eastAsia="仿宋_GB2312" w:cs="Times New Roman"/>
          <w:color w:val="000000" w:themeColor="text1"/>
          <w:sz w:val="32"/>
          <w:szCs w:val="32"/>
          <w14:textFill>
            <w14:solidFill>
              <w14:schemeClr w14:val="tx1"/>
            </w14:solidFill>
          </w14:textFill>
        </w:rPr>
        <w:t>有效专利</w:t>
      </w:r>
      <w:r>
        <w:rPr>
          <w:rFonts w:hint="eastAsia" w:ascii="Times New Roman" w:hAnsi="Times New Roman" w:eastAsia="仿宋_GB2312" w:cs="Times New Roman"/>
          <w:color w:val="000000" w:themeColor="text1"/>
          <w:sz w:val="32"/>
          <w:szCs w:val="32"/>
          <w14:textFill>
            <w14:solidFill>
              <w14:schemeClr w14:val="tx1"/>
            </w14:solidFill>
          </w14:textFill>
        </w:rPr>
        <w:t>和至少1件</w:t>
      </w:r>
      <w:r>
        <w:rPr>
          <w:rFonts w:ascii="Times New Roman" w:hAnsi="Times New Roman" w:eastAsia="仿宋_GB2312" w:cs="Times New Roman"/>
          <w:color w:val="000000" w:themeColor="text1"/>
          <w:sz w:val="32"/>
          <w:szCs w:val="32"/>
          <w14:textFill>
            <w14:solidFill>
              <w14:schemeClr w14:val="tx1"/>
            </w14:solidFill>
          </w14:textFill>
        </w:rPr>
        <w:t>注册商标的企事业单位，一次性给予5万元补助。</w:t>
      </w:r>
    </w:p>
    <w:p>
      <w:pPr>
        <w:widowControl/>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（十）在财政预算不足时，补助金额在本条规定的补助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限额</w:t>
      </w:r>
      <w:r>
        <w:rPr>
          <w:rFonts w:hint="eastAsia" w:ascii="Times New Roman" w:hAnsi="Times New Roman" w:eastAsia="仿宋_GB2312" w:cs="Times New Roman"/>
          <w:color w:val="000000" w:themeColor="text1"/>
          <w:sz w:val="32"/>
          <w:szCs w:val="32"/>
          <w14:textFill>
            <w14:solidFill>
              <w14:schemeClr w14:val="tx1"/>
            </w14:solidFill>
          </w14:textFill>
        </w:rPr>
        <w:t>内进行同比例调整</w:t>
      </w:r>
      <w:r>
        <w:rPr>
          <w:rFonts w:ascii="Times New Roman"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 xml:space="preserve">第八条 </w:t>
      </w:r>
      <w:r>
        <w:rPr>
          <w:rFonts w:hint="eastAsia" w:ascii="仿宋_GB2312" w:hAnsi="Times New Roman" w:eastAsia="仿宋_GB2312" w:cs="Times New Roman"/>
          <w:color w:val="000000" w:themeColor="text1"/>
          <w:sz w:val="32"/>
          <w:szCs w:val="32"/>
          <w14:textFill>
            <w14:solidFill>
              <w14:schemeClr w14:val="tx1"/>
            </w14:solidFill>
          </w14:textFill>
        </w:rPr>
        <w:t>专项资金按以下程序进行补助：</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符合</w:t>
      </w:r>
      <w:r>
        <w:rPr>
          <w:rFonts w:hint="eastAsia" w:ascii="Times New Roman" w:hAnsi="Times New Roman" w:eastAsia="仿宋_GB2312" w:cs="Times New Roman"/>
          <w:color w:val="000000" w:themeColor="text1"/>
          <w:sz w:val="32"/>
          <w:szCs w:val="32"/>
          <w14:textFill>
            <w14:solidFill>
              <w14:schemeClr w14:val="tx1"/>
            </w14:solidFill>
          </w14:textFill>
        </w:rPr>
        <w:t>第七</w:t>
      </w:r>
      <w:r>
        <w:rPr>
          <w:rFonts w:ascii="Times New Roman" w:hAnsi="Times New Roman" w:eastAsia="仿宋_GB2312" w:cs="Times New Roman"/>
          <w:color w:val="000000" w:themeColor="text1"/>
          <w:sz w:val="32"/>
          <w:szCs w:val="32"/>
          <w14:textFill>
            <w14:solidFill>
              <w14:schemeClr w14:val="tx1"/>
            </w14:solidFill>
          </w14:textFill>
        </w:rPr>
        <w:t>条第</w:t>
      </w:r>
      <w:r>
        <w:rPr>
          <w:rFonts w:hint="eastAsia" w:ascii="Times New Roman" w:hAnsi="Times New Roman" w:eastAsia="仿宋_GB2312" w:cs="Times New Roman"/>
          <w:color w:val="000000" w:themeColor="text1"/>
          <w:sz w:val="32"/>
          <w:szCs w:val="32"/>
          <w14:textFill>
            <w14:solidFill>
              <w14:schemeClr w14:val="tx1"/>
            </w14:solidFill>
          </w14:textFill>
        </w:rPr>
        <w:t>一项</w:t>
      </w:r>
      <w:r>
        <w:rPr>
          <w:rFonts w:ascii="Times New Roman" w:hAnsi="Times New Roman" w:eastAsia="仿宋_GB2312" w:cs="Times New Roman"/>
          <w:color w:val="000000" w:themeColor="text1"/>
          <w:sz w:val="32"/>
          <w:szCs w:val="32"/>
          <w14:textFill>
            <w14:solidFill>
              <w14:schemeClr w14:val="tx1"/>
            </w14:solidFill>
          </w14:textFill>
        </w:rPr>
        <w:t>的国内授权发明专利，由自治区市场监管厅（知识产权局）根据国家知识产权局提供的宁夏授权统计数据，审核后予以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公示</w:t>
      </w:r>
      <w:r>
        <w:rPr>
          <w:rFonts w:ascii="Times New Roman"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符合</w:t>
      </w:r>
      <w:r>
        <w:rPr>
          <w:rFonts w:hint="eastAsia" w:ascii="Times New Roman" w:hAnsi="Times New Roman" w:eastAsia="仿宋_GB2312" w:cs="Times New Roman"/>
          <w:color w:val="000000" w:themeColor="text1"/>
          <w:sz w:val="32"/>
          <w:szCs w:val="32"/>
          <w14:textFill>
            <w14:solidFill>
              <w14:schemeClr w14:val="tx1"/>
            </w14:solidFill>
          </w14:textFill>
        </w:rPr>
        <w:t>第七</w:t>
      </w:r>
      <w:r>
        <w:rPr>
          <w:rFonts w:ascii="Times New Roman" w:hAnsi="Times New Roman" w:eastAsia="仿宋_GB2312" w:cs="Times New Roman"/>
          <w:color w:val="000000" w:themeColor="text1"/>
          <w:sz w:val="32"/>
          <w:szCs w:val="32"/>
          <w14:textFill>
            <w14:solidFill>
              <w14:schemeClr w14:val="tx1"/>
            </w14:solidFill>
          </w14:textFill>
        </w:rPr>
        <w:t>条第</w:t>
      </w: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六</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七</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九项</w:t>
      </w:r>
      <w:r>
        <w:rPr>
          <w:rFonts w:ascii="Times New Roman" w:hAnsi="Times New Roman" w:eastAsia="仿宋_GB2312" w:cs="Times New Roman"/>
          <w:color w:val="000000" w:themeColor="text1"/>
          <w:sz w:val="32"/>
          <w:szCs w:val="32"/>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前一年取得的</w:t>
      </w:r>
      <w:r>
        <w:rPr>
          <w:rFonts w:ascii="Times New Roman" w:hAnsi="Times New Roman" w:eastAsia="仿宋_GB2312" w:cs="Times New Roman"/>
          <w:color w:val="000000" w:themeColor="text1"/>
          <w:sz w:val="32"/>
          <w:szCs w:val="32"/>
          <w14:textFill>
            <w14:solidFill>
              <w14:schemeClr w14:val="tx1"/>
            </w14:solidFill>
          </w14:textFill>
        </w:rPr>
        <w:t>港澳台地区及国外授权</w:t>
      </w:r>
      <w:r>
        <w:rPr>
          <w:rFonts w:hint="eastAsia" w:ascii="Times New Roman" w:hAnsi="Times New Roman" w:eastAsia="仿宋_GB2312" w:cs="Times New Roman"/>
          <w:color w:val="000000" w:themeColor="text1"/>
          <w:sz w:val="32"/>
          <w:szCs w:val="32"/>
          <w14:textFill>
            <w14:solidFill>
              <w14:schemeClr w14:val="tx1"/>
            </w14:solidFill>
          </w14:textFill>
        </w:rPr>
        <w:t>发明</w:t>
      </w:r>
      <w:r>
        <w:rPr>
          <w:rFonts w:ascii="Times New Roman" w:hAnsi="Times New Roman" w:eastAsia="仿宋_GB2312" w:cs="Times New Roman"/>
          <w:color w:val="000000" w:themeColor="text1"/>
          <w:sz w:val="32"/>
          <w:szCs w:val="32"/>
          <w14:textFill>
            <w14:solidFill>
              <w14:schemeClr w14:val="tx1"/>
            </w14:solidFill>
          </w14:textFill>
        </w:rPr>
        <w:t>专利、马德里体系注册商标、地理标志注册商标、地理标志保护产品、驰名商标、通过国家知识产权管理体系认证</w:t>
      </w:r>
      <w:r>
        <w:rPr>
          <w:rFonts w:hint="eastAsia" w:ascii="Times New Roman" w:hAnsi="Times New Roman" w:eastAsia="仿宋_GB2312" w:cs="Times New Roman"/>
          <w:color w:val="000000" w:themeColor="text1"/>
          <w:sz w:val="32"/>
          <w:szCs w:val="32"/>
          <w14:textFill>
            <w14:solidFill>
              <w14:schemeClr w14:val="tx1"/>
            </w14:solidFill>
          </w14:textFill>
        </w:rPr>
        <w:t>的补助对象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由项目单位</w:t>
      </w:r>
      <w:r>
        <w:rPr>
          <w:rFonts w:hint="eastAsia" w:ascii="Times New Roman" w:hAnsi="Times New Roman" w:eastAsia="仿宋_GB2312" w:cs="Times New Roman"/>
          <w:color w:val="000000" w:themeColor="text1"/>
          <w:sz w:val="32"/>
          <w:szCs w:val="32"/>
          <w14:textFill>
            <w14:solidFill>
              <w14:schemeClr w14:val="tx1"/>
            </w14:solidFill>
          </w14:textFill>
        </w:rPr>
        <w:t>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规定时限</w:t>
      </w:r>
      <w:r>
        <w:rPr>
          <w:rFonts w:hint="eastAsia" w:ascii="Times New Roman" w:hAnsi="Times New Roman" w:eastAsia="仿宋_GB2312" w:cs="Times New Roman"/>
          <w:color w:val="000000" w:themeColor="text1"/>
          <w:sz w:val="32"/>
          <w:szCs w:val="32"/>
          <w14:textFill>
            <w14:solidFill>
              <w14:schemeClr w14:val="tx1"/>
            </w14:solidFill>
          </w14:textFill>
        </w:rPr>
        <w:t>前报</w:t>
      </w:r>
      <w:r>
        <w:rPr>
          <w:rFonts w:ascii="Times New Roman" w:hAnsi="Times New Roman" w:eastAsia="仿宋_GB2312" w:cs="Times New Roman"/>
          <w:color w:val="000000" w:themeColor="text1"/>
          <w:sz w:val="32"/>
          <w:szCs w:val="32"/>
          <w14:textFill>
            <w14:solidFill>
              <w14:schemeClr w14:val="tx1"/>
            </w14:solidFill>
          </w14:textFill>
        </w:rPr>
        <w:t>自治区市场监管厅（知识产权局）审核，逾期不予受理。</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符合</w:t>
      </w:r>
      <w:r>
        <w:rPr>
          <w:rFonts w:hint="eastAsia" w:ascii="Times New Roman" w:hAnsi="Times New Roman" w:eastAsia="仿宋_GB2312" w:cs="Times New Roman"/>
          <w:color w:val="000000" w:themeColor="text1"/>
          <w:sz w:val="32"/>
          <w:szCs w:val="32"/>
          <w14:textFill>
            <w14:solidFill>
              <w14:schemeClr w14:val="tx1"/>
            </w14:solidFill>
          </w14:textFill>
        </w:rPr>
        <w:t>第七</w:t>
      </w:r>
      <w:r>
        <w:rPr>
          <w:rFonts w:ascii="Times New Roman" w:hAnsi="Times New Roman" w:eastAsia="仿宋_GB2312" w:cs="Times New Roman"/>
          <w:color w:val="000000" w:themeColor="text1"/>
          <w:sz w:val="32"/>
          <w:szCs w:val="32"/>
          <w14:textFill>
            <w14:solidFill>
              <w14:schemeClr w14:val="tx1"/>
            </w14:solidFill>
          </w14:textFill>
        </w:rPr>
        <w:t>条第</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八项</w:t>
      </w:r>
      <w:r>
        <w:rPr>
          <w:rFonts w:ascii="Times New Roman" w:hAnsi="Times New Roman" w:eastAsia="仿宋_GB2312" w:cs="Times New Roman"/>
          <w:color w:val="000000" w:themeColor="text1"/>
          <w:sz w:val="32"/>
          <w:szCs w:val="32"/>
          <w14:textFill>
            <w14:solidFill>
              <w14:schemeClr w14:val="tx1"/>
            </w14:solidFill>
          </w14:textFill>
        </w:rPr>
        <w:t>所列</w:t>
      </w:r>
      <w:r>
        <w:rPr>
          <w:rFonts w:hint="eastAsia" w:ascii="Times New Roman" w:hAnsi="Times New Roman" w:eastAsia="仿宋_GB2312" w:cs="Times New Roman"/>
          <w:color w:val="000000" w:themeColor="text1"/>
          <w:sz w:val="32"/>
          <w:szCs w:val="32"/>
          <w14:textFill>
            <w14:solidFill>
              <w14:schemeClr w14:val="tx1"/>
            </w14:solidFill>
          </w14:textFill>
        </w:rPr>
        <w:t>补助对象</w:t>
      </w:r>
      <w:r>
        <w:rPr>
          <w:rFonts w:ascii="Times New Roman" w:hAnsi="Times New Roman" w:eastAsia="仿宋_GB2312" w:cs="Times New Roman"/>
          <w:color w:val="000000" w:themeColor="text1"/>
          <w:sz w:val="32"/>
          <w:szCs w:val="32"/>
          <w14:textFill>
            <w14:solidFill>
              <w14:schemeClr w14:val="tx1"/>
            </w14:solidFill>
          </w14:textFill>
        </w:rPr>
        <w:t>，自治区市场监管厅（知识产权局）根据国家或自治区相关认定文件审核后予以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公示</w:t>
      </w:r>
      <w:r>
        <w:rPr>
          <w:rFonts w:ascii="Times New Roman" w:hAnsi="Times New Roman" w:eastAsia="仿宋_GB2312" w:cs="Times New Roman"/>
          <w:color w:val="000000" w:themeColor="text1"/>
          <w:sz w:val="32"/>
          <w:szCs w:val="32"/>
          <w14:textFill>
            <w14:solidFill>
              <w14:schemeClr w14:val="tx1"/>
            </w14:solidFill>
          </w14:textFill>
        </w:rPr>
        <w:t>。</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通过审核的</w:t>
      </w:r>
      <w:r>
        <w:rPr>
          <w:rFonts w:hint="eastAsia" w:ascii="Times New Roman" w:hAnsi="Times New Roman" w:eastAsia="仿宋_GB2312" w:cs="Times New Roman"/>
          <w:color w:val="000000" w:themeColor="text1"/>
          <w:sz w:val="32"/>
          <w:szCs w:val="32"/>
          <w14:textFill>
            <w14:solidFill>
              <w14:schemeClr w14:val="tx1"/>
            </w14:solidFill>
          </w14:textFill>
        </w:rPr>
        <w:t>补</w:t>
      </w:r>
      <w:r>
        <w:rPr>
          <w:rFonts w:ascii="Times New Roman" w:hAnsi="Times New Roman" w:eastAsia="仿宋_GB2312" w:cs="Times New Roman"/>
          <w:color w:val="000000" w:themeColor="text1"/>
          <w:sz w:val="32"/>
          <w:szCs w:val="32"/>
          <w14:textFill>
            <w14:solidFill>
              <w14:schemeClr w14:val="tx1"/>
            </w14:solidFill>
          </w14:textFill>
        </w:rPr>
        <w:t>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对象</w:t>
      </w:r>
      <w:r>
        <w:rPr>
          <w:rFonts w:ascii="Times New Roman" w:hAnsi="Times New Roman" w:eastAsia="仿宋_GB2312" w:cs="Times New Roman"/>
          <w:color w:val="000000" w:themeColor="text1"/>
          <w:sz w:val="32"/>
          <w:szCs w:val="32"/>
          <w14:textFill>
            <w14:solidFill>
              <w14:schemeClr w14:val="tx1"/>
            </w14:solidFill>
          </w14:textFill>
        </w:rPr>
        <w:t>名单在自治区市场监管厅（知识产权局）网站公示，公示期不少于5个工作日</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公示期结束后按无异议公示结果予以</w:t>
      </w:r>
      <w:r>
        <w:rPr>
          <w:rFonts w:hint="eastAsia" w:ascii="Times New Roman" w:hAnsi="Times New Roman" w:eastAsia="仿宋_GB2312" w:cs="Times New Roman"/>
          <w:color w:val="000000" w:themeColor="text1"/>
          <w:sz w:val="32"/>
          <w:szCs w:val="32"/>
          <w14:textFill>
            <w14:solidFill>
              <w14:schemeClr w14:val="tx1"/>
            </w14:solidFill>
          </w14:textFill>
        </w:rPr>
        <w:t>补</w:t>
      </w:r>
      <w:r>
        <w:rPr>
          <w:rFonts w:ascii="Times New Roman" w:hAnsi="Times New Roman" w:eastAsia="仿宋_GB2312" w:cs="Times New Roman"/>
          <w:color w:val="000000" w:themeColor="text1"/>
          <w:sz w:val="32"/>
          <w:szCs w:val="32"/>
          <w14:textFill>
            <w14:solidFill>
              <w14:schemeClr w14:val="tx1"/>
            </w14:solidFill>
          </w14:textFill>
        </w:rPr>
        <w:t>助。</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14:textFill>
            <w14:solidFill>
              <w14:schemeClr w14:val="tx1"/>
            </w14:solidFill>
          </w14:textFill>
        </w:rPr>
        <w:t>九</w:t>
      </w:r>
      <w:r>
        <w:rPr>
          <w:rFonts w:ascii="Times New Roman" w:hAnsi="Times New Roman" w:eastAsia="黑体" w:cs="Times New Roman"/>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用于知识产权补助资金相关的评审认定、绩效评价、调研培训、分析统计等专项工作经费，从知识产权补助专项资金中列支。</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自治区财政厅</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自治区市场监管厅（知识产权局）</w:t>
      </w:r>
      <w:r>
        <w:rPr>
          <w:rFonts w:hint="eastAsia" w:ascii="Times New Roman" w:hAnsi="Times New Roman" w:eastAsia="仿宋_GB2312" w:cs="Times New Roman"/>
          <w:color w:val="000000" w:themeColor="text1"/>
          <w:sz w:val="32"/>
          <w:szCs w:val="32"/>
          <w14:textFill>
            <w14:solidFill>
              <w14:schemeClr w14:val="tx1"/>
            </w14:solidFill>
          </w14:textFill>
        </w:rPr>
        <w:t>负责对</w:t>
      </w:r>
      <w:r>
        <w:rPr>
          <w:rFonts w:ascii="Times New Roman" w:hAnsi="Times New Roman" w:eastAsia="仿宋_GB2312" w:cs="Times New Roman"/>
          <w:color w:val="000000" w:themeColor="text1"/>
          <w:sz w:val="32"/>
          <w:szCs w:val="32"/>
          <w14:textFill>
            <w14:solidFill>
              <w14:schemeClr w14:val="tx1"/>
            </w14:solidFill>
          </w14:textFill>
        </w:rPr>
        <w:t>知识产权</w:t>
      </w:r>
      <w:r>
        <w:rPr>
          <w:rFonts w:hint="eastAsia" w:ascii="Times New Roman" w:hAnsi="Times New Roman" w:eastAsia="仿宋_GB2312" w:cs="Times New Roman"/>
          <w:color w:val="000000" w:themeColor="text1"/>
          <w:sz w:val="32"/>
          <w:szCs w:val="32"/>
          <w14:textFill>
            <w14:solidFill>
              <w14:schemeClr w14:val="tx1"/>
            </w14:solidFill>
          </w14:textFill>
        </w:rPr>
        <w:t>补助</w:t>
      </w:r>
      <w:r>
        <w:rPr>
          <w:rFonts w:ascii="Times New Roman" w:hAnsi="Times New Roman" w:eastAsia="仿宋_GB2312" w:cs="Times New Roman"/>
          <w:color w:val="000000" w:themeColor="text1"/>
          <w:sz w:val="32"/>
          <w:szCs w:val="32"/>
          <w14:textFill>
            <w14:solidFill>
              <w14:schemeClr w14:val="tx1"/>
            </w14:solidFill>
          </w14:textFill>
        </w:rPr>
        <w:t>专项资金的监督检查，发现问题及时督促整改。</w:t>
      </w:r>
    </w:p>
    <w:p>
      <w:pPr>
        <w:snapToGrid w:val="0"/>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w:t>
      </w:r>
      <w:r>
        <w:rPr>
          <w:rFonts w:hint="eastAsia" w:ascii="Times New Roman" w:hAnsi="Times New Roman" w:eastAsia="黑体" w:cs="Times New Roman"/>
          <w:color w:val="000000" w:themeColor="text1"/>
          <w:sz w:val="32"/>
          <w:szCs w:val="32"/>
          <w14:textFill>
            <w14:solidFill>
              <w14:schemeClr w14:val="tx1"/>
            </w14:solidFill>
          </w14:textFill>
        </w:rPr>
        <w:t>十一</w:t>
      </w:r>
      <w:r>
        <w:rPr>
          <w:rFonts w:ascii="Times New Roman" w:hAnsi="Times New Roman" w:eastAsia="黑体" w:cs="Times New Roman"/>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严禁套取财政资金行为，一经发现，限期收回已拨付的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补助</w:t>
      </w:r>
      <w:r>
        <w:rPr>
          <w:rFonts w:ascii="Times New Roman" w:hAnsi="Times New Roman" w:eastAsia="仿宋_GB2312" w:cs="Times New Roman"/>
          <w:color w:val="000000" w:themeColor="text1"/>
          <w:sz w:val="32"/>
          <w:szCs w:val="32"/>
          <w14:textFill>
            <w14:solidFill>
              <w14:schemeClr w14:val="tx1"/>
            </w14:solidFill>
          </w14:textFill>
        </w:rPr>
        <w:t>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，并按照国家有关法律法规严肃处理。</w:t>
      </w:r>
    </w:p>
    <w:p>
      <w:pPr>
        <w:snapToGrid w:val="0"/>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w:t>
      </w: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 xml:space="preserve">条 </w:t>
      </w:r>
      <w:r>
        <w:rPr>
          <w:rFonts w:ascii="Times New Roman" w:hAnsi="Times New Roman" w:eastAsia="仿宋_GB2312" w:cs="Times New Roman"/>
          <w:color w:val="000000" w:themeColor="text1"/>
          <w:sz w:val="32"/>
          <w:szCs w:val="32"/>
          <w14:textFill>
            <w14:solidFill>
              <w14:schemeClr w14:val="tx1"/>
            </w14:solidFill>
          </w14:textFill>
        </w:rPr>
        <w:t>自治区财政厅、市场监管厅（知识产权局）相关工作人员在知识产权补助资金的审核和资金分配工作中，存在违规分配资金、滥用职权、玩忽职守、徇私舞弊等违法违</w:t>
      </w:r>
      <w:r>
        <w:rPr>
          <w:rFonts w:hint="eastAsia" w:ascii="Times New Roman" w:hAnsi="Times New Roman" w:eastAsia="仿宋_GB2312" w:cs="Times New Roman"/>
          <w:color w:val="000000" w:themeColor="text1"/>
          <w:sz w:val="32"/>
          <w:szCs w:val="32"/>
          <w14:textFill>
            <w14:solidFill>
              <w14:schemeClr w14:val="tx1"/>
            </w14:solidFill>
          </w14:textFill>
        </w:rPr>
        <w:t>规</w:t>
      </w:r>
      <w:r>
        <w:rPr>
          <w:rFonts w:ascii="Times New Roman" w:hAnsi="Times New Roman" w:eastAsia="仿宋_GB2312" w:cs="Times New Roman"/>
          <w:color w:val="000000" w:themeColor="text1"/>
          <w:sz w:val="32"/>
          <w:szCs w:val="32"/>
          <w14:textFill>
            <w14:solidFill>
              <w14:schemeClr w14:val="tx1"/>
            </w14:solidFill>
          </w14:textFill>
        </w:rPr>
        <w:t>行为的，按照《预算法》、《公务员法》、《监察法》、《财政违法行为处罚处分条例》等国家有关规定追究相应责任；涉嫌犯罪的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依法</w:t>
      </w:r>
      <w:r>
        <w:rPr>
          <w:rFonts w:ascii="Times New Roman" w:hAnsi="Times New Roman" w:eastAsia="仿宋_GB2312" w:cs="Times New Roman"/>
          <w:color w:val="000000" w:themeColor="text1"/>
          <w:sz w:val="32"/>
          <w:szCs w:val="32"/>
          <w14:textFill>
            <w14:solidFill>
              <w14:schemeClr w14:val="tx1"/>
            </w14:solidFill>
          </w14:textFill>
        </w:rPr>
        <w:t>移送司法机关处理。</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w:t>
      </w: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 xml:space="preserve">条 </w:t>
      </w:r>
      <w:r>
        <w:rPr>
          <w:rFonts w:ascii="Times New Roman" w:hAnsi="Times New Roman" w:eastAsia="仿宋_GB2312" w:cs="Times New Roman"/>
          <w:color w:val="000000" w:themeColor="text1"/>
          <w:sz w:val="32"/>
          <w:szCs w:val="32"/>
          <w14:textFill>
            <w14:solidFill>
              <w14:schemeClr w14:val="tx1"/>
            </w14:solidFill>
          </w14:textFill>
        </w:rPr>
        <w:t>本办法由自治区财政厅、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自治区</w:t>
      </w:r>
      <w:r>
        <w:rPr>
          <w:rFonts w:ascii="Times New Roman" w:hAnsi="Times New Roman" w:eastAsia="仿宋_GB2312" w:cs="Times New Roman"/>
          <w:color w:val="000000" w:themeColor="text1"/>
          <w:sz w:val="32"/>
          <w:szCs w:val="32"/>
          <w14:textFill>
            <w14:solidFill>
              <w14:schemeClr w14:val="tx1"/>
            </w14:solidFill>
          </w14:textFill>
        </w:rPr>
        <w:t>市场监管厅（知识产权局）负责解释。</w:t>
      </w:r>
    </w:p>
    <w:p>
      <w:pPr>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第十</w:t>
      </w:r>
      <w:r>
        <w:rPr>
          <w:rFonts w:hint="eastAsia" w:ascii="Times New Roman" w:hAnsi="Times New Roman" w:eastAsia="黑体" w:cs="Times New Roman"/>
          <w:color w:val="000000" w:themeColor="text1"/>
          <w:sz w:val="32"/>
          <w:szCs w:val="32"/>
          <w14:textFill>
            <w14:solidFill>
              <w14:schemeClr w14:val="tx1"/>
            </w14:solidFill>
          </w14:textFill>
        </w:rPr>
        <w:t>四</w:t>
      </w:r>
      <w:r>
        <w:rPr>
          <w:rFonts w:ascii="Times New Roman" w:hAnsi="Times New Roman" w:eastAsia="黑体" w:cs="Times New Roman"/>
          <w:color w:val="000000" w:themeColor="text1"/>
          <w:sz w:val="32"/>
          <w:szCs w:val="32"/>
          <w14:textFill>
            <w14:solidFill>
              <w14:schemeClr w14:val="tx1"/>
            </w14:solidFill>
          </w14:textFill>
        </w:rPr>
        <w:t xml:space="preserve">条 </w:t>
      </w:r>
      <w:r>
        <w:rPr>
          <w:rFonts w:ascii="Times New Roman" w:hAnsi="Times New Roman" w:eastAsia="仿宋_GB2312" w:cs="Times New Roman"/>
          <w:color w:val="000000" w:themeColor="text1"/>
          <w:sz w:val="32"/>
          <w:szCs w:val="32"/>
          <w14:textFill>
            <w14:solidFill>
              <w14:schemeClr w14:val="tx1"/>
            </w14:solidFill>
          </w14:textFill>
        </w:rPr>
        <w:t>本办法自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发布之日起</w:t>
      </w:r>
      <w:r>
        <w:rPr>
          <w:rFonts w:ascii="Times New Roman" w:hAnsi="Times New Roman" w:eastAsia="仿宋_GB2312" w:cs="Times New Roman"/>
          <w:color w:val="000000" w:themeColor="text1"/>
          <w:sz w:val="32"/>
          <w:szCs w:val="32"/>
          <w14:textFill>
            <w14:solidFill>
              <w14:schemeClr w14:val="tx1"/>
            </w14:solidFill>
          </w14:textFill>
        </w:rPr>
        <w:t>施行，有效期至2022年12月31日，《宁夏回族自治区知识产权补助资金管理</w:t>
      </w:r>
      <w:r>
        <w:rPr>
          <w:rFonts w:hint="eastAsia" w:ascii="Times New Roman" w:hAnsi="Times New Roman" w:eastAsia="仿宋_GB2312" w:cs="Times New Roman"/>
          <w:color w:val="000000" w:themeColor="text1"/>
          <w:sz w:val="32"/>
          <w:szCs w:val="32"/>
          <w14:textFill>
            <w14:solidFill>
              <w14:schemeClr w14:val="tx1"/>
            </w14:solidFill>
          </w14:textFill>
        </w:rPr>
        <w:t>暂行</w:t>
      </w:r>
      <w:r>
        <w:rPr>
          <w:rFonts w:ascii="Times New Roman" w:hAnsi="Times New Roman" w:eastAsia="仿宋_GB2312" w:cs="Times New Roman"/>
          <w:color w:val="000000" w:themeColor="text1"/>
          <w:sz w:val="32"/>
          <w:szCs w:val="32"/>
          <w14:textFill>
            <w14:solidFill>
              <w14:schemeClr w14:val="tx1"/>
            </w14:solidFill>
          </w14:textFill>
        </w:rPr>
        <w:t>办法》（宁财规发〔2018〕9号）同时废止。</w:t>
      </w:r>
    </w:p>
    <w:p>
      <w:bookmarkStart w:id="8" w:name="_GoBack"/>
      <w:bookmarkEnd w:id="8"/>
    </w:p>
    <w:sectPr>
      <w:footerReference r:id="rId3" w:type="default"/>
      <w:pgSz w:w="11906" w:h="16838"/>
      <w:pgMar w:top="1418"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423217"/>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68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王飙</cp:lastModifiedBy>
  <dcterms:modified xsi:type="dcterms:W3CDTF">2020-02-26T07:51:31Z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